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5384228">
      <w:pPr>
        <w:pStyle w:val="3"/>
        <w:snapToGrid w:val="0"/>
        <w:spacing w:line="400" w:lineRule="exact"/>
        <w:rPr>
          <w:rFonts w:hint="eastAsia" w:ascii="微软雅黑" w:hAnsi="微软雅黑" w:cs="微软雅黑"/>
          <w:szCs w:val="21"/>
          <w:lang w:val="en-US" w:eastAsia="zh-CN"/>
        </w:rPr>
      </w:pPr>
      <w:r>
        <w:rPr>
          <w:rFonts w:hint="eastAsia" w:ascii="微软雅黑" w:hAnsi="微软雅黑" w:cs="微软雅黑"/>
          <w:szCs w:val="21"/>
        </w:rPr>
        <w:t>南京南大国际会议中心有限公司宾馆用纸采购</w:t>
      </w:r>
      <w:r>
        <w:rPr>
          <w:rFonts w:hint="eastAsia" w:ascii="微软雅黑" w:hAnsi="微软雅黑" w:cs="微软雅黑"/>
          <w:szCs w:val="21"/>
          <w:lang w:val="en-US" w:eastAsia="zh-CN"/>
        </w:rPr>
        <w:t>项目</w:t>
      </w:r>
    </w:p>
    <w:p w14:paraId="5F391643">
      <w:pPr>
        <w:pStyle w:val="3"/>
        <w:snapToGrid w:val="0"/>
        <w:spacing w:line="400" w:lineRule="exact"/>
        <w:rPr>
          <w:rStyle w:val="10"/>
          <w:rFonts w:hint="eastAsia" w:ascii="微软雅黑" w:hAnsi="微软雅黑" w:cs="微软雅黑"/>
          <w:bCs w:val="0"/>
          <w:kern w:val="2"/>
          <w:sz w:val="32"/>
          <w:szCs w:val="32"/>
        </w:rPr>
      </w:pPr>
      <w:r>
        <w:rPr>
          <w:rFonts w:hint="eastAsia" w:ascii="微软雅黑" w:hAnsi="微软雅黑" w:cs="微软雅黑"/>
          <w:bCs w:val="0"/>
          <w:szCs w:val="32"/>
        </w:rPr>
        <w:t>公开招标公告</w:t>
      </w:r>
    </w:p>
    <w:p w14:paraId="05A43DFF">
      <w:pPr>
        <w:pBdr>
          <w:top w:val="none" w:color="auto" w:sz="0" w:space="1"/>
          <w:left w:val="none" w:color="auto" w:sz="0" w:space="4"/>
          <w:bottom w:val="none" w:color="auto" w:sz="0" w:space="1"/>
          <w:right w:val="none" w:color="auto" w:sz="0" w:space="4"/>
        </w:pBdr>
        <w:spacing w:line="420" w:lineRule="exact"/>
        <w:ind w:firstLine="420" w:firstLineChars="200"/>
        <w:rPr>
          <w:rFonts w:hint="eastAsia" w:ascii="微软雅黑" w:hAnsi="微软雅黑" w:cs="微软雅黑"/>
          <w:szCs w:val="21"/>
        </w:rPr>
      </w:pPr>
      <w:r>
        <w:rPr>
          <w:rFonts w:hint="eastAsia" w:ascii="微软雅黑" w:hAnsi="微软雅黑" w:cs="微软雅黑"/>
          <w:szCs w:val="21"/>
        </w:rPr>
        <w:t>项目概况</w:t>
      </w:r>
    </w:p>
    <w:p w14:paraId="5D866FB3">
      <w:pPr>
        <w:pBdr>
          <w:top w:val="none" w:color="auto" w:sz="0" w:space="1"/>
          <w:left w:val="none" w:color="auto" w:sz="0" w:space="4"/>
          <w:bottom w:val="none" w:color="auto" w:sz="0" w:space="1"/>
          <w:right w:val="none" w:color="auto" w:sz="0" w:space="4"/>
        </w:pBdr>
        <w:spacing w:line="420" w:lineRule="exact"/>
        <w:ind w:firstLine="420" w:firstLineChars="200"/>
        <w:rPr>
          <w:rFonts w:hint="eastAsia" w:ascii="微软雅黑" w:hAnsi="微软雅黑" w:cs="微软雅黑"/>
          <w:szCs w:val="21"/>
          <w:highlight w:val="none"/>
        </w:rPr>
      </w:pPr>
      <w:r>
        <w:rPr>
          <w:rFonts w:hint="eastAsia" w:ascii="微软雅黑" w:hAnsi="微软雅黑" w:cs="微软雅黑"/>
          <w:szCs w:val="21"/>
        </w:rPr>
        <w:t>南京南大国际会议中心有限公司宾馆用纸</w:t>
      </w:r>
      <w:r>
        <w:rPr>
          <w:rFonts w:hint="eastAsia" w:ascii="微软雅黑" w:hAnsi="微软雅黑" w:cs="微软雅黑"/>
          <w:szCs w:val="21"/>
          <w:lang w:val="en-US" w:eastAsia="zh-CN"/>
        </w:rPr>
        <w:t>项目</w:t>
      </w:r>
      <w:r>
        <w:rPr>
          <w:rFonts w:hint="eastAsia" w:ascii="微软雅黑" w:hAnsi="微软雅黑" w:cs="微软雅黑"/>
          <w:szCs w:val="21"/>
        </w:rPr>
        <w:t>的潜在投标供应商应在</w:t>
      </w:r>
      <w:r>
        <w:rPr>
          <w:rFonts w:hint="eastAsia" w:ascii="微软雅黑" w:hAnsi="微软雅黑" w:cs="微软雅黑"/>
          <w:szCs w:val="21"/>
          <w:lang w:bidi="ar"/>
        </w:rPr>
        <w:t>（线上）</w:t>
      </w:r>
      <w:r>
        <w:rPr>
          <w:rFonts w:hint="eastAsia" w:ascii="微软雅黑" w:hAnsi="微软雅黑" w:cs="微软雅黑"/>
          <w:szCs w:val="21"/>
        </w:rPr>
        <w:t>获取采购</w:t>
      </w:r>
      <w:r>
        <w:rPr>
          <w:rFonts w:hint="eastAsia" w:ascii="微软雅黑" w:hAnsi="微软雅黑" w:cs="微软雅黑"/>
          <w:szCs w:val="21"/>
          <w:highlight w:val="none"/>
        </w:rPr>
        <w:t>文件，并于2025</w:t>
      </w:r>
      <w:r>
        <w:rPr>
          <w:rFonts w:hint="eastAsia" w:ascii="微软雅黑" w:hAnsi="微软雅黑" w:cs="微软雅黑"/>
          <w:bCs/>
          <w:szCs w:val="21"/>
          <w:highlight w:val="none"/>
        </w:rPr>
        <w:t>年</w:t>
      </w:r>
      <w:r>
        <w:rPr>
          <w:rFonts w:hint="eastAsia" w:ascii="微软雅黑" w:hAnsi="微软雅黑" w:cs="微软雅黑"/>
          <w:bCs/>
          <w:szCs w:val="21"/>
          <w:highlight w:val="none"/>
          <w:lang w:val="en-US" w:eastAsia="zh-CN"/>
        </w:rPr>
        <w:t>4</w:t>
      </w:r>
      <w:r>
        <w:rPr>
          <w:rFonts w:hint="eastAsia" w:ascii="微软雅黑" w:hAnsi="微软雅黑" w:cs="微软雅黑"/>
          <w:bCs/>
          <w:szCs w:val="21"/>
          <w:highlight w:val="none"/>
        </w:rPr>
        <w:t>月</w:t>
      </w:r>
      <w:r>
        <w:rPr>
          <w:rFonts w:hint="eastAsia" w:ascii="微软雅黑" w:hAnsi="微软雅黑" w:cs="微软雅黑"/>
          <w:bCs/>
          <w:szCs w:val="21"/>
          <w:highlight w:val="none"/>
          <w:lang w:val="en-US" w:eastAsia="zh-CN"/>
        </w:rPr>
        <w:t>8</w:t>
      </w:r>
      <w:r>
        <w:rPr>
          <w:rFonts w:hint="eastAsia" w:ascii="微软雅黑" w:hAnsi="微软雅黑" w:cs="微软雅黑"/>
          <w:bCs/>
          <w:szCs w:val="21"/>
          <w:highlight w:val="none"/>
        </w:rPr>
        <w:t>日14点00分（北京时间）前递交投标文件</w:t>
      </w:r>
      <w:r>
        <w:rPr>
          <w:rFonts w:hint="eastAsia" w:ascii="微软雅黑" w:hAnsi="微软雅黑" w:cs="微软雅黑"/>
          <w:szCs w:val="21"/>
          <w:highlight w:val="none"/>
        </w:rPr>
        <w:t>。</w:t>
      </w:r>
    </w:p>
    <w:p w14:paraId="5077CAC9">
      <w:pPr>
        <w:spacing w:line="420" w:lineRule="exact"/>
        <w:rPr>
          <w:rFonts w:hint="eastAsia" w:ascii="微软雅黑" w:hAnsi="微软雅黑" w:cs="微软雅黑"/>
          <w:b/>
          <w:bCs/>
        </w:rPr>
      </w:pPr>
      <w:bookmarkStart w:id="0" w:name="_Toc5452"/>
      <w:bookmarkStart w:id="1" w:name="_Toc28359002"/>
      <w:bookmarkStart w:id="2" w:name="_Toc35393790"/>
      <w:bookmarkStart w:id="3" w:name="_Toc35393621"/>
      <w:bookmarkStart w:id="4" w:name="_Toc28359079"/>
      <w:bookmarkStart w:id="5" w:name="_Hlk24379207"/>
      <w:r>
        <w:rPr>
          <w:rFonts w:hint="eastAsia" w:ascii="微软雅黑" w:hAnsi="微软雅黑" w:cs="微软雅黑"/>
          <w:b/>
          <w:bCs/>
        </w:rPr>
        <w:t>一、项目基本情况</w:t>
      </w:r>
      <w:bookmarkEnd w:id="0"/>
      <w:bookmarkEnd w:id="1"/>
      <w:bookmarkEnd w:id="2"/>
      <w:bookmarkEnd w:id="3"/>
      <w:bookmarkEnd w:id="4"/>
    </w:p>
    <w:p w14:paraId="6920F3CC">
      <w:pPr>
        <w:spacing w:line="420" w:lineRule="exact"/>
        <w:ind w:firstLine="420" w:firstLineChars="200"/>
        <w:rPr>
          <w:rFonts w:hint="eastAsia" w:ascii="微软雅黑" w:hAnsi="微软雅黑" w:cs="微软雅黑"/>
          <w:szCs w:val="21"/>
        </w:rPr>
      </w:pPr>
      <w:r>
        <w:rPr>
          <w:rFonts w:hint="eastAsia" w:ascii="微软雅黑" w:hAnsi="微软雅黑" w:cs="微软雅黑"/>
          <w:szCs w:val="21"/>
        </w:rPr>
        <w:t>项目编号：JSHC-2025030100A5</w:t>
      </w:r>
    </w:p>
    <w:p w14:paraId="7CAF5CF1">
      <w:pPr>
        <w:spacing w:line="420" w:lineRule="exact"/>
        <w:ind w:firstLine="420" w:firstLineChars="200"/>
        <w:rPr>
          <w:rFonts w:hint="eastAsia" w:ascii="微软雅黑" w:hAnsi="微软雅黑" w:cs="微软雅黑"/>
          <w:szCs w:val="21"/>
        </w:rPr>
      </w:pPr>
      <w:r>
        <w:rPr>
          <w:rFonts w:hint="eastAsia" w:ascii="微软雅黑" w:hAnsi="微软雅黑" w:cs="微软雅黑"/>
          <w:szCs w:val="21"/>
        </w:rPr>
        <w:t>项目名称：南京南大国际会议中心有限公司宾馆用纸采购</w:t>
      </w:r>
    </w:p>
    <w:bookmarkEnd w:id="5"/>
    <w:p w14:paraId="308C8901">
      <w:pPr>
        <w:spacing w:line="420" w:lineRule="exact"/>
        <w:ind w:firstLine="420" w:firstLineChars="200"/>
        <w:rPr>
          <w:rFonts w:hint="eastAsia" w:ascii="微软雅黑" w:hAnsi="微软雅黑" w:cs="微软雅黑"/>
          <w:szCs w:val="21"/>
          <w:highlight w:val="none"/>
        </w:rPr>
      </w:pPr>
      <w:r>
        <w:rPr>
          <w:rFonts w:hint="eastAsia" w:ascii="微软雅黑" w:hAnsi="微软雅黑" w:cs="微软雅黑"/>
          <w:szCs w:val="21"/>
          <w:highlight w:val="none"/>
        </w:rPr>
        <w:t>预算金额：人民币</w:t>
      </w:r>
      <w:r>
        <w:rPr>
          <w:rFonts w:hint="eastAsia" w:ascii="微软雅黑" w:hAnsi="微软雅黑" w:cs="微软雅黑"/>
          <w:szCs w:val="21"/>
          <w:highlight w:val="none"/>
          <w:lang w:val="en-US" w:eastAsia="zh-CN"/>
        </w:rPr>
        <w:t>贰拾柒</w:t>
      </w:r>
      <w:r>
        <w:rPr>
          <w:rFonts w:hint="eastAsia" w:ascii="微软雅黑" w:hAnsi="微软雅黑" w:cs="微软雅黑"/>
          <w:szCs w:val="21"/>
          <w:highlight w:val="none"/>
        </w:rPr>
        <w:t>万元整（￥</w:t>
      </w:r>
      <w:r>
        <w:rPr>
          <w:rFonts w:hint="eastAsia" w:ascii="微软雅黑" w:hAnsi="微软雅黑" w:cs="微软雅黑"/>
          <w:szCs w:val="21"/>
          <w:highlight w:val="none"/>
          <w:lang w:val="en-US" w:eastAsia="zh-CN"/>
        </w:rPr>
        <w:t>27</w:t>
      </w:r>
      <w:r>
        <w:rPr>
          <w:rFonts w:hint="eastAsia" w:ascii="微软雅黑" w:hAnsi="微软雅黑" w:cs="微软雅黑"/>
          <w:szCs w:val="21"/>
          <w:highlight w:val="none"/>
        </w:rPr>
        <w:t>0,000.00）/ 二年</w:t>
      </w:r>
    </w:p>
    <w:p w14:paraId="4CEC787A">
      <w:pPr>
        <w:spacing w:line="420" w:lineRule="exact"/>
        <w:ind w:firstLine="420" w:firstLineChars="200"/>
        <w:rPr>
          <w:rFonts w:hint="eastAsia" w:ascii="微软雅黑" w:hAnsi="微软雅黑" w:cs="微软雅黑"/>
          <w:szCs w:val="21"/>
          <w:highlight w:val="none"/>
          <w:lang w:eastAsia="zh-CN"/>
        </w:rPr>
      </w:pPr>
      <w:r>
        <w:rPr>
          <w:rFonts w:hint="eastAsia" w:ascii="微软雅黑" w:hAnsi="微软雅黑" w:cs="微软雅黑"/>
          <w:szCs w:val="21"/>
          <w:highlight w:val="none"/>
        </w:rPr>
        <w:t>最高限价：人民币</w:t>
      </w:r>
      <w:r>
        <w:rPr>
          <w:rFonts w:hint="eastAsia" w:ascii="微软雅黑" w:hAnsi="微软雅黑" w:cs="微软雅黑"/>
          <w:szCs w:val="21"/>
          <w:highlight w:val="none"/>
          <w:lang w:val="en-US" w:eastAsia="zh-CN"/>
        </w:rPr>
        <w:t>贰拾柒</w:t>
      </w:r>
      <w:r>
        <w:rPr>
          <w:rFonts w:hint="eastAsia" w:ascii="微软雅黑" w:hAnsi="微软雅黑" w:cs="微软雅黑"/>
          <w:szCs w:val="21"/>
          <w:highlight w:val="none"/>
        </w:rPr>
        <w:t>万元整（￥</w:t>
      </w:r>
      <w:r>
        <w:rPr>
          <w:rFonts w:hint="eastAsia" w:ascii="微软雅黑" w:hAnsi="微软雅黑" w:cs="微软雅黑"/>
          <w:szCs w:val="21"/>
          <w:highlight w:val="none"/>
          <w:lang w:val="en-US" w:eastAsia="zh-CN"/>
        </w:rPr>
        <w:t>27</w:t>
      </w:r>
      <w:r>
        <w:rPr>
          <w:rFonts w:hint="eastAsia" w:ascii="微软雅黑" w:hAnsi="微软雅黑" w:cs="微软雅黑"/>
          <w:szCs w:val="21"/>
          <w:highlight w:val="none"/>
        </w:rPr>
        <w:t>0,000.00）/ 二年</w:t>
      </w:r>
    </w:p>
    <w:tbl>
      <w:tblPr>
        <w:tblStyle w:val="8"/>
        <w:tblW w:w="8780" w:type="dxa"/>
        <w:tblInd w:w="-103" w:type="dxa"/>
        <w:tblLayout w:type="fixed"/>
        <w:tblCellMar>
          <w:top w:w="0" w:type="dxa"/>
          <w:left w:w="30" w:type="dxa"/>
          <w:bottom w:w="0" w:type="dxa"/>
          <w:right w:w="30" w:type="dxa"/>
        </w:tblCellMar>
      </w:tblPr>
      <w:tblGrid>
        <w:gridCol w:w="437"/>
        <w:gridCol w:w="1814"/>
        <w:gridCol w:w="436"/>
        <w:gridCol w:w="1091"/>
        <w:gridCol w:w="1786"/>
        <w:gridCol w:w="846"/>
        <w:gridCol w:w="1036"/>
        <w:gridCol w:w="625"/>
        <w:gridCol w:w="709"/>
      </w:tblGrid>
      <w:tr w14:paraId="3568693A">
        <w:tblPrEx>
          <w:tblCellMar>
            <w:top w:w="0" w:type="dxa"/>
            <w:left w:w="30" w:type="dxa"/>
            <w:bottom w:w="0" w:type="dxa"/>
            <w:right w:w="30" w:type="dxa"/>
          </w:tblCellMar>
        </w:tblPrEx>
        <w:trPr>
          <w:trHeight w:val="951" w:hRule="atLeast"/>
        </w:trPr>
        <w:tc>
          <w:tcPr>
            <w:tcW w:w="437"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607F21AE">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编号</w:t>
            </w:r>
          </w:p>
        </w:tc>
        <w:tc>
          <w:tcPr>
            <w:tcW w:w="1814"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3982EB09">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名称</w:t>
            </w:r>
          </w:p>
        </w:tc>
        <w:tc>
          <w:tcPr>
            <w:tcW w:w="436"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0A37F390">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单位</w:t>
            </w:r>
          </w:p>
        </w:tc>
        <w:tc>
          <w:tcPr>
            <w:tcW w:w="1091" w:type="dxa"/>
            <w:tcBorders>
              <w:top w:val="single" w:color="auto" w:sz="6" w:space="0"/>
              <w:left w:val="single" w:color="auto" w:sz="6" w:space="0"/>
              <w:bottom w:val="single" w:color="auto" w:sz="6" w:space="0"/>
              <w:right w:val="single" w:color="000000" w:sz="6" w:space="0"/>
            </w:tcBorders>
            <w:shd w:val="clear" w:color="auto" w:fill="auto"/>
            <w:noWrap w:val="0"/>
            <w:vAlign w:val="top"/>
          </w:tcPr>
          <w:p w14:paraId="3E390802">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规格</w:t>
            </w:r>
          </w:p>
          <w:p w14:paraId="339119AE">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参数</w:t>
            </w:r>
          </w:p>
        </w:tc>
        <w:tc>
          <w:tcPr>
            <w:tcW w:w="178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4433BFF1">
            <w:pPr>
              <w:autoSpaceDE w:val="0"/>
              <w:autoSpaceDN w:val="0"/>
              <w:adjustRightInd w:val="0"/>
              <w:ind w:firstLine="420" w:firstLineChars="200"/>
              <w:rPr>
                <w:rFonts w:hint="eastAsia" w:ascii="微软雅黑" w:hAnsi="微软雅黑" w:eastAsia="微软雅黑" w:cs="微软雅黑"/>
                <w:color w:val="auto"/>
                <w:kern w:val="0"/>
                <w:sz w:val="21"/>
                <w:szCs w:val="21"/>
              </w:rPr>
            </w:pPr>
            <w:r>
              <w:rPr>
                <w:rFonts w:hint="eastAsia" w:ascii="微软雅黑" w:hAnsi="微软雅黑" w:eastAsia="微软雅黑" w:cs="微软雅黑"/>
                <w:color w:val="auto"/>
                <w:kern w:val="0"/>
                <w:sz w:val="21"/>
                <w:szCs w:val="21"/>
              </w:rPr>
              <w:t>规定大小</w:t>
            </w:r>
          </w:p>
          <w:p w14:paraId="5348D173">
            <w:pPr>
              <w:autoSpaceDE w:val="0"/>
              <w:autoSpaceDN w:val="0"/>
              <w:adjustRightInd w:val="0"/>
              <w:jc w:val="center"/>
              <w:rPr>
                <w:rFonts w:hint="eastAsia" w:ascii="微软雅黑" w:hAnsi="微软雅黑" w:eastAsia="微软雅黑" w:cs="微软雅黑"/>
                <w:color w:val="auto"/>
                <w:kern w:val="0"/>
                <w:sz w:val="21"/>
                <w:szCs w:val="21"/>
              </w:rPr>
            </w:pPr>
            <w:r>
              <w:rPr>
                <w:rFonts w:hint="eastAsia" w:ascii="微软雅黑" w:hAnsi="微软雅黑" w:eastAsia="微软雅黑" w:cs="微软雅黑"/>
                <w:color w:val="auto"/>
                <w:kern w:val="0"/>
                <w:sz w:val="21"/>
                <w:szCs w:val="21"/>
              </w:rPr>
              <w:t>（长、宽、高）</w:t>
            </w:r>
          </w:p>
        </w:tc>
        <w:tc>
          <w:tcPr>
            <w:tcW w:w="84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3544C556">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克重</w:t>
            </w:r>
          </w:p>
          <w:p w14:paraId="642AFD38">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（卷/包）</w:t>
            </w:r>
          </w:p>
        </w:tc>
        <w:tc>
          <w:tcPr>
            <w:tcW w:w="103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0D81BFE3">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张数或者米数</w:t>
            </w:r>
          </w:p>
          <w:p w14:paraId="5379F237">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（包/卷）</w:t>
            </w:r>
          </w:p>
        </w:tc>
        <w:tc>
          <w:tcPr>
            <w:tcW w:w="625" w:type="dxa"/>
            <w:tcBorders>
              <w:top w:val="single" w:color="auto" w:sz="6" w:space="0"/>
              <w:left w:val="single" w:color="000000" w:sz="6" w:space="0"/>
              <w:bottom w:val="single" w:color="auto" w:sz="6" w:space="0"/>
              <w:right w:val="single" w:color="auto" w:sz="6" w:space="0"/>
            </w:tcBorders>
            <w:noWrap w:val="0"/>
            <w:vAlign w:val="top"/>
          </w:tcPr>
          <w:p w14:paraId="367BC019">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数量</w:t>
            </w:r>
          </w:p>
        </w:tc>
        <w:tc>
          <w:tcPr>
            <w:tcW w:w="709" w:type="dxa"/>
            <w:tcBorders>
              <w:top w:val="single" w:color="auto" w:sz="6" w:space="0"/>
              <w:left w:val="single" w:color="auto" w:sz="6" w:space="0"/>
              <w:bottom w:val="single" w:color="auto" w:sz="6" w:space="0"/>
              <w:right w:val="single" w:color="auto" w:sz="6" w:space="0"/>
            </w:tcBorders>
            <w:noWrap w:val="0"/>
            <w:vAlign w:val="top"/>
          </w:tcPr>
          <w:p w14:paraId="11639AB0">
            <w:pPr>
              <w:autoSpaceDE w:val="0"/>
              <w:autoSpaceDN w:val="0"/>
              <w:adjustRightInd w:val="0"/>
              <w:jc w:val="center"/>
              <w:rPr>
                <w:rFonts w:hint="eastAsia" w:ascii="微软雅黑" w:hAnsi="微软雅黑" w:eastAsia="微软雅黑" w:cs="微软雅黑"/>
                <w:color w:val="000000"/>
                <w:kern w:val="0"/>
                <w:sz w:val="21"/>
                <w:szCs w:val="21"/>
                <w:lang w:eastAsia="zh-CN"/>
              </w:rPr>
            </w:pPr>
            <w:r>
              <w:rPr>
                <w:rFonts w:hint="eastAsia" w:ascii="微软雅黑" w:hAnsi="微软雅黑" w:eastAsia="微软雅黑" w:cs="微软雅黑"/>
                <w:color w:val="000000"/>
                <w:kern w:val="0"/>
                <w:sz w:val="21"/>
                <w:szCs w:val="21"/>
              </w:rPr>
              <w:t>最高限价</w:t>
            </w:r>
            <w:r>
              <w:rPr>
                <w:rFonts w:hint="eastAsia" w:ascii="微软雅黑" w:hAnsi="微软雅黑" w:cs="微软雅黑"/>
                <w:color w:val="000000"/>
                <w:kern w:val="0"/>
                <w:sz w:val="21"/>
                <w:szCs w:val="21"/>
                <w:lang w:eastAsia="zh-CN"/>
              </w:rPr>
              <w:t>（</w:t>
            </w:r>
            <w:r>
              <w:rPr>
                <w:rFonts w:hint="eastAsia" w:ascii="微软雅黑" w:hAnsi="微软雅黑" w:cs="微软雅黑"/>
                <w:color w:val="000000"/>
                <w:kern w:val="0"/>
                <w:sz w:val="21"/>
                <w:szCs w:val="21"/>
                <w:lang w:val="en-US" w:eastAsia="zh-CN"/>
              </w:rPr>
              <w:t>元</w:t>
            </w:r>
            <w:r>
              <w:rPr>
                <w:rFonts w:hint="eastAsia" w:ascii="微软雅黑" w:hAnsi="微软雅黑" w:cs="微软雅黑"/>
                <w:color w:val="000000"/>
                <w:kern w:val="0"/>
                <w:sz w:val="21"/>
                <w:szCs w:val="21"/>
                <w:lang w:eastAsia="zh-CN"/>
              </w:rPr>
              <w:t>）</w:t>
            </w:r>
          </w:p>
        </w:tc>
      </w:tr>
      <w:tr w14:paraId="5CC6B74D">
        <w:tblPrEx>
          <w:tblCellMar>
            <w:top w:w="0" w:type="dxa"/>
            <w:left w:w="30" w:type="dxa"/>
            <w:bottom w:w="0" w:type="dxa"/>
            <w:right w:w="30" w:type="dxa"/>
          </w:tblCellMar>
        </w:tblPrEx>
        <w:trPr>
          <w:trHeight w:val="271" w:hRule="atLeast"/>
        </w:trPr>
        <w:tc>
          <w:tcPr>
            <w:tcW w:w="437"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118B46D6">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1</w:t>
            </w:r>
          </w:p>
        </w:tc>
        <w:tc>
          <w:tcPr>
            <w:tcW w:w="1814"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71265AD4">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 xml:space="preserve">双层餐巾纸 </w:t>
            </w:r>
          </w:p>
        </w:tc>
        <w:tc>
          <w:tcPr>
            <w:tcW w:w="436"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7C6A1220">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箱</w:t>
            </w:r>
          </w:p>
        </w:tc>
        <w:tc>
          <w:tcPr>
            <w:tcW w:w="1091" w:type="dxa"/>
            <w:tcBorders>
              <w:top w:val="single" w:color="auto" w:sz="6" w:space="0"/>
              <w:left w:val="single" w:color="auto" w:sz="6" w:space="0"/>
              <w:bottom w:val="single" w:color="auto" w:sz="6" w:space="0"/>
              <w:right w:val="single" w:color="000000" w:sz="6" w:space="0"/>
            </w:tcBorders>
            <w:shd w:val="clear" w:color="auto" w:fill="auto"/>
            <w:noWrap w:val="0"/>
            <w:vAlign w:val="top"/>
          </w:tcPr>
          <w:p w14:paraId="3D2CE8DC">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60包/箱</w:t>
            </w:r>
          </w:p>
        </w:tc>
        <w:tc>
          <w:tcPr>
            <w:tcW w:w="178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36FA191A">
            <w:pPr>
              <w:autoSpaceDE w:val="0"/>
              <w:autoSpaceDN w:val="0"/>
              <w:adjustRightInd w:val="0"/>
              <w:jc w:val="center"/>
              <w:rPr>
                <w:rFonts w:hint="eastAsia" w:ascii="微软雅黑" w:hAnsi="微软雅黑" w:eastAsia="微软雅黑" w:cs="微软雅黑"/>
                <w:color w:val="auto"/>
                <w:kern w:val="0"/>
                <w:sz w:val="21"/>
                <w:szCs w:val="21"/>
              </w:rPr>
            </w:pPr>
            <w:r>
              <w:rPr>
                <w:rFonts w:hint="eastAsia" w:ascii="微软雅黑" w:hAnsi="微软雅黑" w:eastAsia="微软雅黑" w:cs="微软雅黑"/>
                <w:color w:val="auto"/>
                <w:kern w:val="0"/>
                <w:sz w:val="21"/>
                <w:szCs w:val="21"/>
              </w:rPr>
              <w:t>275mm*275mm</w:t>
            </w:r>
          </w:p>
        </w:tc>
        <w:tc>
          <w:tcPr>
            <w:tcW w:w="84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6CE4C59E">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2</w:t>
            </w:r>
            <w:r>
              <w:rPr>
                <w:rFonts w:hint="eastAsia" w:ascii="微软雅黑" w:hAnsi="微软雅黑" w:cs="微软雅黑"/>
                <w:color w:val="000000"/>
                <w:kern w:val="0"/>
                <w:sz w:val="21"/>
                <w:szCs w:val="21"/>
                <w:lang w:val="en-US" w:eastAsia="zh-CN"/>
              </w:rPr>
              <w:t>46</w:t>
            </w:r>
            <w:r>
              <w:rPr>
                <w:rFonts w:hint="eastAsia" w:ascii="微软雅黑" w:hAnsi="微软雅黑" w:eastAsia="微软雅黑" w:cs="微软雅黑"/>
                <w:color w:val="000000"/>
                <w:kern w:val="0"/>
                <w:sz w:val="21"/>
                <w:szCs w:val="21"/>
              </w:rPr>
              <w:t>克</w:t>
            </w:r>
          </w:p>
        </w:tc>
        <w:tc>
          <w:tcPr>
            <w:tcW w:w="103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0197189A">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100张/包</w:t>
            </w:r>
          </w:p>
        </w:tc>
        <w:tc>
          <w:tcPr>
            <w:tcW w:w="625" w:type="dxa"/>
            <w:tcBorders>
              <w:top w:val="single" w:color="auto" w:sz="6" w:space="0"/>
              <w:left w:val="single" w:color="000000" w:sz="6" w:space="0"/>
              <w:bottom w:val="single" w:color="auto" w:sz="6" w:space="0"/>
              <w:right w:val="single" w:color="auto" w:sz="6" w:space="0"/>
            </w:tcBorders>
            <w:noWrap w:val="0"/>
            <w:vAlign w:val="top"/>
          </w:tcPr>
          <w:p w14:paraId="13B8D648">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120</w:t>
            </w:r>
          </w:p>
        </w:tc>
        <w:tc>
          <w:tcPr>
            <w:tcW w:w="709" w:type="dxa"/>
            <w:tcBorders>
              <w:top w:val="single" w:color="auto" w:sz="6" w:space="0"/>
              <w:left w:val="single" w:color="auto" w:sz="6" w:space="0"/>
              <w:bottom w:val="single" w:color="auto" w:sz="6" w:space="0"/>
              <w:right w:val="single" w:color="auto" w:sz="6" w:space="0"/>
            </w:tcBorders>
            <w:noWrap w:val="0"/>
            <w:vAlign w:val="top"/>
          </w:tcPr>
          <w:p w14:paraId="7D874A4F">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285</w:t>
            </w:r>
          </w:p>
        </w:tc>
      </w:tr>
      <w:tr w14:paraId="6893D7A6">
        <w:tblPrEx>
          <w:tblCellMar>
            <w:top w:w="0" w:type="dxa"/>
            <w:left w:w="30" w:type="dxa"/>
            <w:bottom w:w="0" w:type="dxa"/>
            <w:right w:w="30" w:type="dxa"/>
          </w:tblCellMar>
        </w:tblPrEx>
        <w:trPr>
          <w:trHeight w:val="271" w:hRule="atLeast"/>
        </w:trPr>
        <w:tc>
          <w:tcPr>
            <w:tcW w:w="437"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2B60CF1C">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2</w:t>
            </w:r>
          </w:p>
        </w:tc>
        <w:tc>
          <w:tcPr>
            <w:tcW w:w="1814"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520A9528">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大盘纸</w:t>
            </w:r>
          </w:p>
        </w:tc>
        <w:tc>
          <w:tcPr>
            <w:tcW w:w="436"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584335B2">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箱</w:t>
            </w:r>
          </w:p>
        </w:tc>
        <w:tc>
          <w:tcPr>
            <w:tcW w:w="1091" w:type="dxa"/>
            <w:tcBorders>
              <w:top w:val="single" w:color="auto" w:sz="6" w:space="0"/>
              <w:left w:val="single" w:color="auto" w:sz="6" w:space="0"/>
              <w:bottom w:val="single" w:color="auto" w:sz="6" w:space="0"/>
              <w:right w:val="single" w:color="000000" w:sz="6" w:space="0"/>
            </w:tcBorders>
            <w:shd w:val="clear" w:color="auto" w:fill="auto"/>
            <w:noWrap w:val="0"/>
            <w:vAlign w:val="top"/>
          </w:tcPr>
          <w:p w14:paraId="5D1A30A7">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12包/箱</w:t>
            </w:r>
          </w:p>
        </w:tc>
        <w:tc>
          <w:tcPr>
            <w:tcW w:w="178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2358096D">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95mm*115mm</w:t>
            </w:r>
          </w:p>
        </w:tc>
        <w:tc>
          <w:tcPr>
            <w:tcW w:w="84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02D397F9">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7</w:t>
            </w:r>
            <w:r>
              <w:rPr>
                <w:rFonts w:hint="eastAsia" w:ascii="微软雅黑" w:hAnsi="微软雅黑" w:cs="微软雅黑"/>
                <w:color w:val="000000"/>
                <w:kern w:val="0"/>
                <w:sz w:val="21"/>
                <w:szCs w:val="21"/>
                <w:lang w:val="en-US" w:eastAsia="zh-CN"/>
              </w:rPr>
              <w:t>43</w:t>
            </w:r>
            <w:r>
              <w:rPr>
                <w:rFonts w:hint="eastAsia" w:ascii="微软雅黑" w:hAnsi="微软雅黑" w:eastAsia="微软雅黑" w:cs="微软雅黑"/>
                <w:color w:val="000000"/>
                <w:kern w:val="0"/>
                <w:sz w:val="21"/>
                <w:szCs w:val="21"/>
              </w:rPr>
              <w:t>克</w:t>
            </w:r>
          </w:p>
        </w:tc>
        <w:tc>
          <w:tcPr>
            <w:tcW w:w="103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3C342ABB">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240米/卷</w:t>
            </w:r>
          </w:p>
        </w:tc>
        <w:tc>
          <w:tcPr>
            <w:tcW w:w="625" w:type="dxa"/>
            <w:tcBorders>
              <w:top w:val="single" w:color="auto" w:sz="6" w:space="0"/>
              <w:left w:val="single" w:color="000000" w:sz="6" w:space="0"/>
              <w:bottom w:val="single" w:color="auto" w:sz="6" w:space="0"/>
              <w:right w:val="single" w:color="auto" w:sz="6" w:space="0"/>
            </w:tcBorders>
            <w:noWrap w:val="0"/>
            <w:vAlign w:val="top"/>
          </w:tcPr>
          <w:p w14:paraId="6E3356F8">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220</w:t>
            </w:r>
          </w:p>
        </w:tc>
        <w:tc>
          <w:tcPr>
            <w:tcW w:w="709" w:type="dxa"/>
            <w:tcBorders>
              <w:top w:val="single" w:color="auto" w:sz="6" w:space="0"/>
              <w:left w:val="single" w:color="auto" w:sz="6" w:space="0"/>
              <w:bottom w:val="single" w:color="auto" w:sz="6" w:space="0"/>
              <w:right w:val="single" w:color="auto" w:sz="6" w:space="0"/>
            </w:tcBorders>
            <w:noWrap w:val="0"/>
            <w:vAlign w:val="top"/>
          </w:tcPr>
          <w:p w14:paraId="533D1D9C">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142</w:t>
            </w:r>
          </w:p>
        </w:tc>
      </w:tr>
      <w:tr w14:paraId="49BBE28B">
        <w:tblPrEx>
          <w:tblCellMar>
            <w:top w:w="0" w:type="dxa"/>
            <w:left w:w="30" w:type="dxa"/>
            <w:bottom w:w="0" w:type="dxa"/>
            <w:right w:w="30" w:type="dxa"/>
          </w:tblCellMar>
        </w:tblPrEx>
        <w:trPr>
          <w:trHeight w:val="271" w:hRule="atLeast"/>
        </w:trPr>
        <w:tc>
          <w:tcPr>
            <w:tcW w:w="437"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08B3D1CE">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3</w:t>
            </w:r>
          </w:p>
        </w:tc>
        <w:tc>
          <w:tcPr>
            <w:tcW w:w="1814"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5854883A">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商用三层卷纸</w:t>
            </w:r>
          </w:p>
        </w:tc>
        <w:tc>
          <w:tcPr>
            <w:tcW w:w="436"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11524C45">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箱</w:t>
            </w:r>
          </w:p>
        </w:tc>
        <w:tc>
          <w:tcPr>
            <w:tcW w:w="1091" w:type="dxa"/>
            <w:tcBorders>
              <w:top w:val="single" w:color="auto" w:sz="6" w:space="0"/>
              <w:left w:val="single" w:color="auto" w:sz="6" w:space="0"/>
              <w:bottom w:val="single" w:color="auto" w:sz="6" w:space="0"/>
              <w:right w:val="single" w:color="000000" w:sz="6" w:space="0"/>
            </w:tcBorders>
            <w:shd w:val="clear" w:color="auto" w:fill="auto"/>
            <w:noWrap w:val="0"/>
            <w:vAlign w:val="top"/>
          </w:tcPr>
          <w:p w14:paraId="651A6E73">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 xml:space="preserve"> 60卷/箱</w:t>
            </w:r>
          </w:p>
        </w:tc>
        <w:tc>
          <w:tcPr>
            <w:tcW w:w="178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604F39C0">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101mm*138mm</w:t>
            </w:r>
          </w:p>
        </w:tc>
        <w:tc>
          <w:tcPr>
            <w:tcW w:w="84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328D8BD3">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140克</w:t>
            </w:r>
          </w:p>
        </w:tc>
        <w:tc>
          <w:tcPr>
            <w:tcW w:w="103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505C66CD">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10卷/提</w:t>
            </w:r>
          </w:p>
        </w:tc>
        <w:tc>
          <w:tcPr>
            <w:tcW w:w="625" w:type="dxa"/>
            <w:tcBorders>
              <w:top w:val="single" w:color="auto" w:sz="6" w:space="0"/>
              <w:left w:val="single" w:color="000000" w:sz="6" w:space="0"/>
              <w:bottom w:val="single" w:color="auto" w:sz="6" w:space="0"/>
              <w:right w:val="single" w:color="auto" w:sz="6" w:space="0"/>
            </w:tcBorders>
            <w:noWrap w:val="0"/>
            <w:vAlign w:val="top"/>
          </w:tcPr>
          <w:p w14:paraId="1AD1AB7D">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782</w:t>
            </w:r>
          </w:p>
        </w:tc>
        <w:tc>
          <w:tcPr>
            <w:tcW w:w="709" w:type="dxa"/>
            <w:tcBorders>
              <w:top w:val="single" w:color="auto" w:sz="6" w:space="0"/>
              <w:left w:val="single" w:color="auto" w:sz="6" w:space="0"/>
              <w:bottom w:val="single" w:color="auto" w:sz="6" w:space="0"/>
              <w:right w:val="single" w:color="auto" w:sz="6" w:space="0"/>
            </w:tcBorders>
            <w:noWrap w:val="0"/>
            <w:vAlign w:val="top"/>
          </w:tcPr>
          <w:p w14:paraId="5611763A">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121</w:t>
            </w:r>
          </w:p>
        </w:tc>
      </w:tr>
      <w:tr w14:paraId="4193DB6C">
        <w:tblPrEx>
          <w:tblCellMar>
            <w:top w:w="0" w:type="dxa"/>
            <w:left w:w="30" w:type="dxa"/>
            <w:bottom w:w="0" w:type="dxa"/>
            <w:right w:w="30" w:type="dxa"/>
          </w:tblCellMar>
        </w:tblPrEx>
        <w:trPr>
          <w:trHeight w:val="271" w:hRule="atLeast"/>
        </w:trPr>
        <w:tc>
          <w:tcPr>
            <w:tcW w:w="437"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7832345A">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4</w:t>
            </w:r>
          </w:p>
        </w:tc>
        <w:tc>
          <w:tcPr>
            <w:tcW w:w="1814"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06E18F2D">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软抽纸</w:t>
            </w:r>
          </w:p>
        </w:tc>
        <w:tc>
          <w:tcPr>
            <w:tcW w:w="436"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5D276DFF">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箱</w:t>
            </w:r>
          </w:p>
        </w:tc>
        <w:tc>
          <w:tcPr>
            <w:tcW w:w="1091" w:type="dxa"/>
            <w:tcBorders>
              <w:top w:val="single" w:color="auto" w:sz="6" w:space="0"/>
              <w:left w:val="single" w:color="auto" w:sz="6" w:space="0"/>
              <w:bottom w:val="single" w:color="auto" w:sz="6" w:space="0"/>
              <w:right w:val="single" w:color="000000" w:sz="6" w:space="0"/>
            </w:tcBorders>
            <w:shd w:val="clear" w:color="auto" w:fill="auto"/>
            <w:noWrap w:val="0"/>
            <w:vAlign w:val="top"/>
          </w:tcPr>
          <w:p w14:paraId="6BCC8D67">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 xml:space="preserve"> 100包/箱</w:t>
            </w:r>
          </w:p>
        </w:tc>
        <w:tc>
          <w:tcPr>
            <w:tcW w:w="178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5B71E426">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195mm*192mm</w:t>
            </w:r>
          </w:p>
        </w:tc>
        <w:tc>
          <w:tcPr>
            <w:tcW w:w="84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35896509">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cs="微软雅黑"/>
                <w:color w:val="000000"/>
                <w:kern w:val="0"/>
                <w:sz w:val="21"/>
                <w:szCs w:val="21"/>
                <w:lang w:val="en-US" w:eastAsia="zh-CN"/>
              </w:rPr>
              <w:t>103</w:t>
            </w:r>
            <w:r>
              <w:rPr>
                <w:rFonts w:hint="eastAsia" w:ascii="微软雅黑" w:hAnsi="微软雅黑" w:eastAsia="微软雅黑" w:cs="微软雅黑"/>
                <w:color w:val="000000"/>
                <w:kern w:val="0"/>
                <w:sz w:val="21"/>
                <w:szCs w:val="21"/>
              </w:rPr>
              <w:t>克</w:t>
            </w:r>
          </w:p>
        </w:tc>
        <w:tc>
          <w:tcPr>
            <w:tcW w:w="103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4B2490A7">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100抽/包</w:t>
            </w:r>
          </w:p>
        </w:tc>
        <w:tc>
          <w:tcPr>
            <w:tcW w:w="625" w:type="dxa"/>
            <w:tcBorders>
              <w:top w:val="single" w:color="auto" w:sz="6" w:space="0"/>
              <w:left w:val="single" w:color="000000" w:sz="6" w:space="0"/>
              <w:bottom w:val="single" w:color="auto" w:sz="6" w:space="0"/>
              <w:right w:val="single" w:color="auto" w:sz="6" w:space="0"/>
            </w:tcBorders>
            <w:noWrap w:val="0"/>
            <w:vAlign w:val="top"/>
          </w:tcPr>
          <w:p w14:paraId="4D2E21E3">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430</w:t>
            </w:r>
          </w:p>
        </w:tc>
        <w:tc>
          <w:tcPr>
            <w:tcW w:w="709" w:type="dxa"/>
            <w:tcBorders>
              <w:top w:val="single" w:color="auto" w:sz="6" w:space="0"/>
              <w:left w:val="single" w:color="auto" w:sz="6" w:space="0"/>
              <w:bottom w:val="single" w:color="auto" w:sz="6" w:space="0"/>
              <w:right w:val="single" w:color="auto" w:sz="6" w:space="0"/>
            </w:tcBorders>
            <w:noWrap w:val="0"/>
            <w:vAlign w:val="top"/>
          </w:tcPr>
          <w:p w14:paraId="6D080DBB">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196</w:t>
            </w:r>
          </w:p>
        </w:tc>
      </w:tr>
      <w:tr w14:paraId="5139DBFE">
        <w:tblPrEx>
          <w:tblCellMar>
            <w:top w:w="0" w:type="dxa"/>
            <w:left w:w="30" w:type="dxa"/>
            <w:bottom w:w="0" w:type="dxa"/>
            <w:right w:w="30" w:type="dxa"/>
          </w:tblCellMar>
        </w:tblPrEx>
        <w:trPr>
          <w:trHeight w:val="271" w:hRule="atLeast"/>
        </w:trPr>
        <w:tc>
          <w:tcPr>
            <w:tcW w:w="437"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529C462A">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5</w:t>
            </w:r>
          </w:p>
        </w:tc>
        <w:tc>
          <w:tcPr>
            <w:tcW w:w="1814"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7AC01097">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 xml:space="preserve">双层擦手纸 </w:t>
            </w:r>
          </w:p>
        </w:tc>
        <w:tc>
          <w:tcPr>
            <w:tcW w:w="436"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57B19B37">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包</w:t>
            </w:r>
          </w:p>
        </w:tc>
        <w:tc>
          <w:tcPr>
            <w:tcW w:w="1091" w:type="dxa"/>
            <w:tcBorders>
              <w:top w:val="single" w:color="auto" w:sz="6" w:space="0"/>
              <w:left w:val="single" w:color="auto" w:sz="6" w:space="0"/>
              <w:bottom w:val="single" w:color="auto" w:sz="6" w:space="0"/>
              <w:right w:val="single" w:color="000000" w:sz="6" w:space="0"/>
            </w:tcBorders>
            <w:shd w:val="clear" w:color="auto" w:fill="auto"/>
            <w:noWrap w:val="0"/>
            <w:vAlign w:val="top"/>
          </w:tcPr>
          <w:p w14:paraId="6477AFA4">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20/箱</w:t>
            </w:r>
          </w:p>
        </w:tc>
        <w:tc>
          <w:tcPr>
            <w:tcW w:w="178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60D7D60C">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225mm*222mm</w:t>
            </w:r>
          </w:p>
        </w:tc>
        <w:tc>
          <w:tcPr>
            <w:tcW w:w="84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21286FEB">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cs="微软雅黑"/>
                <w:color w:val="000000"/>
                <w:kern w:val="0"/>
                <w:sz w:val="21"/>
                <w:szCs w:val="21"/>
                <w:lang w:val="en-US" w:eastAsia="zh-CN"/>
              </w:rPr>
              <w:t>386</w:t>
            </w:r>
            <w:r>
              <w:rPr>
                <w:rFonts w:hint="eastAsia" w:ascii="微软雅黑" w:hAnsi="微软雅黑" w:eastAsia="微软雅黑" w:cs="微软雅黑"/>
                <w:color w:val="000000"/>
                <w:kern w:val="0"/>
                <w:sz w:val="21"/>
                <w:szCs w:val="21"/>
              </w:rPr>
              <w:t>克</w:t>
            </w:r>
          </w:p>
        </w:tc>
        <w:tc>
          <w:tcPr>
            <w:tcW w:w="1036" w:type="dxa"/>
            <w:tcBorders>
              <w:top w:val="single" w:color="000000" w:sz="6" w:space="0"/>
              <w:left w:val="single" w:color="000000" w:sz="6" w:space="0"/>
              <w:bottom w:val="single" w:color="000000" w:sz="6" w:space="0"/>
              <w:right w:val="single" w:color="000000" w:sz="6" w:space="0"/>
            </w:tcBorders>
            <w:shd w:val="clear" w:color="FFFF00" w:fill="auto"/>
            <w:noWrap w:val="0"/>
            <w:vAlign w:val="top"/>
          </w:tcPr>
          <w:p w14:paraId="6612C410">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180抽/包</w:t>
            </w:r>
          </w:p>
        </w:tc>
        <w:tc>
          <w:tcPr>
            <w:tcW w:w="625" w:type="dxa"/>
            <w:tcBorders>
              <w:top w:val="single" w:color="auto" w:sz="6" w:space="0"/>
              <w:left w:val="single" w:color="000000" w:sz="6" w:space="0"/>
              <w:bottom w:val="single" w:color="auto" w:sz="6" w:space="0"/>
              <w:right w:val="single" w:color="auto" w:sz="6" w:space="0"/>
            </w:tcBorders>
            <w:noWrap w:val="0"/>
            <w:vAlign w:val="top"/>
          </w:tcPr>
          <w:p w14:paraId="1CB56B8C">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2000</w:t>
            </w:r>
          </w:p>
        </w:tc>
        <w:tc>
          <w:tcPr>
            <w:tcW w:w="709" w:type="dxa"/>
            <w:tcBorders>
              <w:top w:val="single" w:color="auto" w:sz="6" w:space="0"/>
              <w:left w:val="single" w:color="auto" w:sz="6" w:space="0"/>
              <w:bottom w:val="single" w:color="auto" w:sz="6" w:space="0"/>
              <w:right w:val="single" w:color="auto" w:sz="6" w:space="0"/>
            </w:tcBorders>
            <w:noWrap w:val="0"/>
            <w:vAlign w:val="top"/>
          </w:tcPr>
          <w:p w14:paraId="0BCAA2CC">
            <w:pPr>
              <w:autoSpaceDE w:val="0"/>
              <w:autoSpaceDN w:val="0"/>
              <w:adjustRightInd w:val="0"/>
              <w:jc w:val="center"/>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6.9</w:t>
            </w:r>
          </w:p>
        </w:tc>
      </w:tr>
    </w:tbl>
    <w:p w14:paraId="493D1138">
      <w:pPr>
        <w:spacing w:line="420" w:lineRule="exact"/>
        <w:ind w:firstLine="420" w:firstLineChars="200"/>
        <w:rPr>
          <w:rFonts w:hint="default" w:ascii="微软雅黑" w:hAnsi="微软雅黑" w:cs="微软雅黑"/>
          <w:b/>
          <w:bCs/>
          <w:color w:val="auto"/>
          <w:szCs w:val="21"/>
          <w:highlight w:val="none"/>
          <w:lang w:val="en-US" w:eastAsia="zh-CN"/>
        </w:rPr>
      </w:pPr>
      <w:r>
        <w:rPr>
          <w:rFonts w:hint="eastAsia" w:ascii="微软雅黑" w:hAnsi="微软雅黑" w:cs="微软雅黑"/>
          <w:b/>
          <w:bCs/>
          <w:color w:val="auto"/>
          <w:szCs w:val="21"/>
          <w:highlight w:val="none"/>
          <w:lang w:val="en-US" w:eastAsia="zh-CN"/>
        </w:rPr>
        <w:t>注：</w:t>
      </w:r>
      <w:r>
        <w:rPr>
          <w:rFonts w:hint="eastAsia" w:ascii="微软雅黑" w:hAnsi="微软雅黑" w:cs="微软雅黑"/>
          <w:b/>
          <w:bCs/>
          <w:color w:val="auto"/>
          <w:szCs w:val="21"/>
        </w:rPr>
        <w:t>单项报价不得超过单项最高限价，否则作无效投标处理 。</w:t>
      </w:r>
    </w:p>
    <w:p w14:paraId="774EC48A">
      <w:pPr>
        <w:spacing w:line="420" w:lineRule="exact"/>
        <w:ind w:firstLine="420" w:firstLineChars="200"/>
        <w:rPr>
          <w:rFonts w:hint="eastAsia" w:ascii="微软雅黑" w:hAnsi="微软雅黑" w:cs="微软雅黑"/>
          <w:szCs w:val="21"/>
        </w:rPr>
      </w:pPr>
      <w:r>
        <w:rPr>
          <w:rFonts w:hint="eastAsia" w:ascii="微软雅黑" w:hAnsi="微软雅黑" w:cs="微软雅黑"/>
          <w:szCs w:val="21"/>
        </w:rPr>
        <w:t>合同履行期限：自签订合同之日起2年。</w:t>
      </w:r>
    </w:p>
    <w:p w14:paraId="7287C544">
      <w:pPr>
        <w:spacing w:line="420" w:lineRule="exact"/>
        <w:ind w:firstLine="420" w:firstLineChars="200"/>
        <w:rPr>
          <w:rFonts w:hint="eastAsia" w:ascii="微软雅黑" w:hAnsi="微软雅黑" w:cs="微软雅黑"/>
          <w:szCs w:val="21"/>
        </w:rPr>
      </w:pPr>
      <w:r>
        <w:rPr>
          <w:rFonts w:hint="eastAsia" w:ascii="微软雅黑" w:hAnsi="微软雅黑" w:cs="微软雅黑"/>
          <w:szCs w:val="21"/>
        </w:rPr>
        <w:t>本项目（</w:t>
      </w:r>
      <w:r>
        <w:rPr>
          <w:rFonts w:hint="eastAsia" w:ascii="微软雅黑" w:hAnsi="微软雅黑" w:cs="微软雅黑"/>
          <w:i/>
          <w:szCs w:val="21"/>
        </w:rPr>
        <w:t>是/否</w:t>
      </w:r>
      <w:r>
        <w:rPr>
          <w:rFonts w:hint="eastAsia" w:ascii="微软雅黑" w:hAnsi="微软雅黑" w:cs="微软雅黑"/>
          <w:szCs w:val="21"/>
        </w:rPr>
        <w:t>）接受联合体：</w:t>
      </w:r>
      <w:r>
        <w:rPr>
          <w:rFonts w:hint="eastAsia" w:ascii="微软雅黑" w:hAnsi="微软雅黑" w:cs="微软雅黑"/>
          <w:b/>
          <w:bCs/>
          <w:szCs w:val="21"/>
        </w:rPr>
        <w:t>否</w:t>
      </w:r>
    </w:p>
    <w:p w14:paraId="3851EFDC">
      <w:pPr>
        <w:spacing w:line="420" w:lineRule="exact"/>
        <w:rPr>
          <w:rFonts w:hint="eastAsia" w:ascii="微软雅黑" w:hAnsi="微软雅黑" w:cs="微软雅黑"/>
          <w:b/>
          <w:bCs/>
        </w:rPr>
      </w:pPr>
      <w:bookmarkStart w:id="6" w:name="_Toc28359080"/>
      <w:bookmarkStart w:id="7" w:name="_Toc18689"/>
      <w:bookmarkStart w:id="8" w:name="_Toc28359003"/>
      <w:bookmarkStart w:id="9" w:name="_Toc35393791"/>
      <w:bookmarkStart w:id="10" w:name="_Toc35393622"/>
      <w:r>
        <w:rPr>
          <w:rFonts w:hint="eastAsia" w:ascii="微软雅黑" w:hAnsi="微软雅黑" w:cs="微软雅黑"/>
          <w:b/>
          <w:bCs/>
        </w:rPr>
        <w:t>二、供应商的资格要求：</w:t>
      </w:r>
      <w:bookmarkEnd w:id="6"/>
      <w:bookmarkEnd w:id="7"/>
      <w:bookmarkEnd w:id="8"/>
      <w:bookmarkEnd w:id="9"/>
      <w:bookmarkEnd w:id="10"/>
    </w:p>
    <w:p w14:paraId="29BB967C">
      <w:pPr>
        <w:spacing w:line="420" w:lineRule="exact"/>
        <w:ind w:firstLine="420" w:firstLineChars="200"/>
        <w:rPr>
          <w:rFonts w:hint="eastAsia" w:ascii="微软雅黑" w:hAnsi="微软雅黑" w:cs="微软雅黑"/>
          <w:szCs w:val="21"/>
        </w:rPr>
      </w:pPr>
      <w:r>
        <w:rPr>
          <w:rFonts w:hint="eastAsia" w:ascii="微软雅黑" w:hAnsi="微软雅黑" w:cs="微软雅黑"/>
          <w:szCs w:val="21"/>
        </w:rPr>
        <w:t>1.参加本次招标的供应商应具备以下条件:：</w:t>
      </w:r>
    </w:p>
    <w:p w14:paraId="1BD271EF">
      <w:pPr>
        <w:spacing w:line="420" w:lineRule="exact"/>
        <w:ind w:firstLine="420" w:firstLineChars="200"/>
        <w:rPr>
          <w:rFonts w:hint="eastAsia" w:ascii="微软雅黑" w:hAnsi="微软雅黑" w:cs="微软雅黑"/>
          <w:szCs w:val="21"/>
        </w:rPr>
      </w:pPr>
      <w:r>
        <w:rPr>
          <w:rFonts w:hint="eastAsia" w:ascii="微软雅黑" w:hAnsi="微软雅黑" w:cs="微软雅黑"/>
          <w:szCs w:val="21"/>
        </w:rPr>
        <w:t>1.1具有独立承担民事责任的能力（提供法人或者其他组织的营业执照复印件）；</w:t>
      </w:r>
    </w:p>
    <w:p w14:paraId="5FD7E9F0">
      <w:pPr>
        <w:spacing w:line="420" w:lineRule="exact"/>
        <w:ind w:firstLine="420" w:firstLineChars="200"/>
        <w:rPr>
          <w:rFonts w:hint="eastAsia" w:ascii="微软雅黑" w:hAnsi="微软雅黑" w:cs="微软雅黑"/>
          <w:szCs w:val="21"/>
        </w:rPr>
      </w:pPr>
      <w:r>
        <w:rPr>
          <w:rFonts w:hint="eastAsia" w:ascii="微软雅黑" w:hAnsi="微软雅黑" w:cs="微软雅黑"/>
          <w:szCs w:val="21"/>
        </w:rPr>
        <w:t>1.2具有良好的商业信誉和健全的财务会计制度（提供2024年</w:t>
      </w:r>
      <w:r>
        <w:rPr>
          <w:rFonts w:hint="eastAsia" w:ascii="微软雅黑" w:hAnsi="微软雅黑" w:cs="微软雅黑"/>
          <w:szCs w:val="21"/>
          <w:lang w:val="en-US" w:eastAsia="zh-CN"/>
        </w:rPr>
        <w:t>3</w:t>
      </w:r>
      <w:r>
        <w:rPr>
          <w:rFonts w:hint="eastAsia" w:ascii="微软雅黑" w:hAnsi="微软雅黑" w:cs="微软雅黑"/>
          <w:szCs w:val="21"/>
        </w:rPr>
        <w:t>月至投标截止时间前任一月份的资产负债表和利润表，</w:t>
      </w:r>
      <w:r>
        <w:rPr>
          <w:rFonts w:hint="eastAsia" w:ascii="微软雅黑" w:hAnsi="微软雅黑" w:cs="微软雅黑"/>
          <w:b/>
          <w:bCs/>
          <w:szCs w:val="21"/>
        </w:rPr>
        <w:t>或</w:t>
      </w:r>
      <w:r>
        <w:rPr>
          <w:rFonts w:hint="eastAsia" w:ascii="微软雅黑" w:hAnsi="微软雅黑" w:cs="微软雅黑"/>
          <w:szCs w:val="21"/>
        </w:rPr>
        <w:t>2023/2024</w:t>
      </w:r>
      <w:r>
        <w:rPr>
          <w:rFonts w:hint="eastAsia" w:ascii="微软雅黑" w:hAnsi="微软雅黑" w:cs="微软雅黑"/>
          <w:szCs w:val="21"/>
          <w:lang w:eastAsia="zh-CN"/>
        </w:rPr>
        <w:t>年</w:t>
      </w:r>
      <w:r>
        <w:rPr>
          <w:rFonts w:hint="eastAsia" w:ascii="微软雅黑" w:hAnsi="微软雅黑" w:cs="微软雅黑"/>
          <w:szCs w:val="21"/>
        </w:rPr>
        <w:t>任一年度审计报告，</w:t>
      </w:r>
      <w:r>
        <w:rPr>
          <w:rFonts w:hint="eastAsia" w:ascii="微软雅黑" w:hAnsi="微软雅黑" w:cs="微软雅黑"/>
          <w:b/>
          <w:bCs/>
          <w:szCs w:val="21"/>
        </w:rPr>
        <w:t>或投标截止时间前三个月内</w:t>
      </w:r>
      <w:r>
        <w:rPr>
          <w:rFonts w:hint="eastAsia" w:ascii="微软雅黑" w:hAnsi="微软雅黑" w:cs="微软雅黑"/>
          <w:szCs w:val="21"/>
        </w:rPr>
        <w:t>银行出具的资信证明，</w:t>
      </w:r>
      <w:r>
        <w:rPr>
          <w:rFonts w:hint="eastAsia" w:ascii="微软雅黑" w:hAnsi="微软雅黑" w:cs="微软雅黑"/>
          <w:b/>
          <w:bCs/>
          <w:szCs w:val="21"/>
        </w:rPr>
        <w:t>或</w:t>
      </w:r>
      <w:r>
        <w:rPr>
          <w:rFonts w:hint="eastAsia" w:ascii="微软雅黑" w:hAnsi="微软雅黑" w:cs="微软雅黑"/>
          <w:szCs w:val="21"/>
        </w:rPr>
        <w:t>财政部门认可的专业担保机构出具的投标担保函）；</w:t>
      </w:r>
    </w:p>
    <w:p w14:paraId="24FDDC23">
      <w:pPr>
        <w:spacing w:line="420" w:lineRule="exact"/>
        <w:ind w:firstLine="420" w:firstLineChars="200"/>
        <w:rPr>
          <w:rFonts w:hint="eastAsia" w:ascii="微软雅黑" w:hAnsi="微软雅黑" w:cs="微软雅黑"/>
          <w:szCs w:val="21"/>
        </w:rPr>
      </w:pPr>
      <w:r>
        <w:rPr>
          <w:rFonts w:hint="eastAsia" w:ascii="微软雅黑" w:hAnsi="微软雅黑" w:cs="微软雅黑"/>
          <w:szCs w:val="21"/>
        </w:rPr>
        <w:t>（法人或者其他组织成立未满一年的可以不提）</w:t>
      </w:r>
    </w:p>
    <w:p w14:paraId="605B8C9A">
      <w:pPr>
        <w:spacing w:line="420" w:lineRule="exact"/>
        <w:ind w:firstLine="420" w:firstLineChars="200"/>
        <w:rPr>
          <w:rFonts w:hint="eastAsia" w:ascii="微软雅黑" w:hAnsi="微软雅黑" w:cs="微软雅黑"/>
          <w:szCs w:val="21"/>
        </w:rPr>
      </w:pPr>
      <w:r>
        <w:rPr>
          <w:rFonts w:hint="eastAsia" w:ascii="微软雅黑" w:hAnsi="微软雅黑" w:cs="微软雅黑"/>
          <w:szCs w:val="21"/>
        </w:rPr>
        <w:t xml:space="preserve">1.3具有履行合同所必需的设备和专业技术能力（根据项目需求提供履行合同所必需的设备和专业技术能力的证明材料或承诺函）； </w:t>
      </w:r>
    </w:p>
    <w:p w14:paraId="2B857520">
      <w:pPr>
        <w:spacing w:line="420" w:lineRule="exact"/>
        <w:ind w:firstLine="420" w:firstLineChars="200"/>
        <w:rPr>
          <w:rFonts w:hint="eastAsia" w:ascii="微软雅黑" w:hAnsi="微软雅黑" w:cs="微软雅黑"/>
          <w:szCs w:val="21"/>
        </w:rPr>
      </w:pPr>
      <w:r>
        <w:rPr>
          <w:rFonts w:hint="eastAsia" w:ascii="微软雅黑" w:hAnsi="微软雅黑" w:cs="微软雅黑"/>
          <w:szCs w:val="21"/>
        </w:rPr>
        <w:t>1.4有依法缴纳税收</w:t>
      </w:r>
      <w:r>
        <w:rPr>
          <w:rFonts w:hint="eastAsia" w:ascii="微软雅黑" w:hAnsi="微软雅黑" w:cs="微软雅黑"/>
          <w:b/>
          <w:bCs/>
          <w:szCs w:val="21"/>
        </w:rPr>
        <w:t>和</w:t>
      </w:r>
      <w:r>
        <w:rPr>
          <w:rFonts w:hint="eastAsia" w:ascii="微软雅黑" w:hAnsi="微软雅黑" w:cs="微软雅黑"/>
          <w:szCs w:val="21"/>
        </w:rPr>
        <w:t>社会保障资金的良好记录（提供2024年</w:t>
      </w:r>
      <w:r>
        <w:rPr>
          <w:rFonts w:hint="eastAsia" w:ascii="微软雅黑" w:hAnsi="微软雅黑" w:cs="微软雅黑"/>
          <w:szCs w:val="21"/>
          <w:lang w:val="en-US" w:eastAsia="zh-CN"/>
        </w:rPr>
        <w:t>3</w:t>
      </w:r>
      <w:r>
        <w:rPr>
          <w:rFonts w:hint="eastAsia" w:ascii="微软雅黑" w:hAnsi="微软雅黑" w:cs="微软雅黑"/>
          <w:szCs w:val="21"/>
        </w:rPr>
        <w:t>月至投标截止时间前任一月份依法缴纳税收的凭据，以及缴纳社会保险的凭据（专用收据或社会保险的凭据）。依法免税或不需要缴纳社会保障资金的投标供应商，应提供相应文件证明）；</w:t>
      </w:r>
    </w:p>
    <w:p w14:paraId="55577707">
      <w:pPr>
        <w:spacing w:line="420" w:lineRule="exact"/>
        <w:ind w:firstLine="420" w:firstLineChars="200"/>
        <w:rPr>
          <w:rFonts w:hint="eastAsia" w:ascii="微软雅黑" w:hAnsi="微软雅黑" w:cs="微软雅黑"/>
          <w:szCs w:val="21"/>
        </w:rPr>
      </w:pPr>
      <w:r>
        <w:rPr>
          <w:rFonts w:hint="eastAsia" w:ascii="微软雅黑" w:hAnsi="微软雅黑" w:cs="微软雅黑"/>
          <w:szCs w:val="21"/>
        </w:rPr>
        <w:t>1.5参加本次采购活动前三年内（成立时间不足三年的自成立之日起），在经营活动中没有重大违法记录（提供参加本次采购活动前三年内在经营活动中没有重大违法记录的书面声明）；</w:t>
      </w:r>
    </w:p>
    <w:p w14:paraId="4AAEE9FF">
      <w:pPr>
        <w:spacing w:line="420" w:lineRule="exact"/>
        <w:ind w:firstLine="420" w:firstLineChars="200"/>
        <w:rPr>
          <w:rFonts w:hint="eastAsia" w:ascii="微软雅黑" w:hAnsi="微软雅黑" w:cs="微软雅黑"/>
          <w:color w:val="auto"/>
          <w:szCs w:val="21"/>
        </w:rPr>
      </w:pPr>
      <w:r>
        <w:rPr>
          <w:rFonts w:hint="eastAsia" w:ascii="微软雅黑" w:hAnsi="微软雅黑" w:cs="微软雅黑"/>
          <w:szCs w:val="21"/>
        </w:rPr>
        <w:t>1.6投标供应商须提供法定代表人授权书原件、法定代表人身份证复印件、授权代表身</w:t>
      </w:r>
      <w:r>
        <w:rPr>
          <w:rFonts w:hint="eastAsia" w:ascii="微软雅黑" w:hAnsi="微软雅黑" w:cs="微软雅黑"/>
          <w:color w:val="auto"/>
          <w:szCs w:val="21"/>
        </w:rPr>
        <w:t>份证复印件（如果是法定代表人直接参与投标的可以不提供授权书）。</w:t>
      </w:r>
    </w:p>
    <w:p w14:paraId="22CD7312">
      <w:pPr>
        <w:spacing w:line="420" w:lineRule="exact"/>
        <w:ind w:firstLine="420" w:firstLineChars="200"/>
        <w:rPr>
          <w:rFonts w:hint="eastAsia" w:ascii="微软雅黑" w:hAnsi="微软雅黑" w:cs="微软雅黑"/>
          <w:color w:val="auto"/>
          <w:szCs w:val="21"/>
        </w:rPr>
      </w:pPr>
      <w:r>
        <w:rPr>
          <w:rFonts w:hint="eastAsia" w:ascii="微软雅黑" w:hAnsi="微软雅黑" w:cs="微软雅黑"/>
          <w:color w:val="auto"/>
          <w:szCs w:val="21"/>
        </w:rPr>
        <w:t>4.</w:t>
      </w:r>
      <w:r>
        <w:rPr>
          <w:rFonts w:hint="eastAsia" w:ascii="微软雅黑" w:hAnsi="微软雅黑" w:cs="微软雅黑"/>
          <w:color w:val="auto"/>
          <w:szCs w:val="21"/>
          <w:lang w:val="zh-CN"/>
        </w:rPr>
        <w:t xml:space="preserve">本项目不接受进口产品投标 </w:t>
      </w:r>
      <w:r>
        <w:rPr>
          <w:rFonts w:hint="eastAsia" w:ascii="微软雅黑" w:hAnsi="微软雅黑" w:cs="微软雅黑"/>
          <w:b/>
          <w:bCs/>
          <w:color w:val="auto"/>
          <w:szCs w:val="21"/>
          <w:lang w:val="zh-CN"/>
        </w:rPr>
        <w:t>（注：本文件所称进口产品是指通过中国海关报关验放进入中国境内且产自关境外的产品）</w:t>
      </w:r>
      <w:r>
        <w:rPr>
          <w:rFonts w:hint="eastAsia" w:ascii="微软雅黑" w:hAnsi="微软雅黑" w:cs="微软雅黑"/>
          <w:color w:val="auto"/>
          <w:szCs w:val="21"/>
        </w:rPr>
        <w:t>。</w:t>
      </w:r>
    </w:p>
    <w:p w14:paraId="1AFCA360">
      <w:pPr>
        <w:spacing w:line="420" w:lineRule="exact"/>
        <w:ind w:firstLine="420" w:firstLineChars="200"/>
        <w:rPr>
          <w:rFonts w:hint="eastAsia" w:ascii="微软雅黑" w:hAnsi="微软雅黑" w:cs="微软雅黑"/>
          <w:color w:val="auto"/>
        </w:rPr>
      </w:pPr>
      <w:r>
        <w:rPr>
          <w:rFonts w:hint="eastAsia" w:ascii="微软雅黑" w:hAnsi="微软雅黑" w:cs="微软雅黑"/>
          <w:color w:val="auto"/>
          <w:szCs w:val="21"/>
        </w:rPr>
        <w:t>5.本项目不接受联合体投标</w:t>
      </w:r>
      <w:r>
        <w:rPr>
          <w:rFonts w:hint="eastAsia" w:ascii="微软雅黑" w:hAnsi="微软雅黑" w:cs="微软雅黑"/>
          <w:color w:val="auto"/>
          <w:szCs w:val="21"/>
          <w:lang w:val="zh-CN"/>
        </w:rPr>
        <w:t>。</w:t>
      </w:r>
    </w:p>
    <w:p w14:paraId="242B7535">
      <w:pPr>
        <w:spacing w:line="420" w:lineRule="exact"/>
        <w:ind w:firstLine="420" w:firstLineChars="200"/>
        <w:rPr>
          <w:rFonts w:hint="eastAsia" w:ascii="微软雅黑" w:hAnsi="微软雅黑" w:cs="微软雅黑"/>
          <w:szCs w:val="21"/>
        </w:rPr>
      </w:pPr>
      <w:r>
        <w:rPr>
          <w:rFonts w:hint="eastAsia" w:ascii="微软雅黑" w:hAnsi="微软雅黑" w:cs="微软雅黑"/>
          <w:szCs w:val="21"/>
        </w:rPr>
        <w:t>6.拒绝下述供应商参加本次采购活动:</w:t>
      </w:r>
    </w:p>
    <w:p w14:paraId="1CFA74AD">
      <w:pPr>
        <w:spacing w:line="420" w:lineRule="exact"/>
        <w:ind w:firstLine="420" w:firstLineChars="200"/>
        <w:rPr>
          <w:rFonts w:hint="eastAsia" w:ascii="微软雅黑" w:hAnsi="微软雅黑" w:cs="微软雅黑"/>
          <w:szCs w:val="21"/>
        </w:rPr>
      </w:pPr>
      <w:r>
        <w:rPr>
          <w:rFonts w:hint="eastAsia" w:ascii="微软雅黑" w:hAnsi="微软雅黑" w:cs="微软雅黑"/>
          <w:szCs w:val="21"/>
        </w:rPr>
        <w:t>6.1为采购项目提供整体设计、规范编制或者项目管理、监理、检测等服务的；</w:t>
      </w:r>
    </w:p>
    <w:p w14:paraId="442835B7">
      <w:pPr>
        <w:spacing w:line="420" w:lineRule="exact"/>
        <w:ind w:firstLine="420" w:firstLineChars="200"/>
        <w:rPr>
          <w:rFonts w:hint="eastAsia" w:ascii="微软雅黑" w:hAnsi="微软雅黑" w:cs="微软雅黑"/>
          <w:szCs w:val="21"/>
        </w:rPr>
      </w:pPr>
      <w:r>
        <w:rPr>
          <w:rFonts w:hint="eastAsia" w:ascii="微软雅黑" w:hAnsi="微软雅黑" w:cs="微软雅黑"/>
          <w:szCs w:val="21"/>
        </w:rPr>
        <w:t>6.2供应商单位负责人为同一人或者存在直接控股、管理关系的不同供应商，不得参加同一合同项下的采购活动；</w:t>
      </w:r>
    </w:p>
    <w:p w14:paraId="2804AC9F">
      <w:pPr>
        <w:spacing w:line="420" w:lineRule="exact"/>
        <w:ind w:firstLine="420" w:firstLineChars="200"/>
        <w:rPr>
          <w:rFonts w:hint="eastAsia" w:ascii="微软雅黑" w:hAnsi="微软雅黑" w:cs="微软雅黑"/>
          <w:szCs w:val="21"/>
          <w:highlight w:val="none"/>
        </w:rPr>
      </w:pPr>
      <w:r>
        <w:rPr>
          <w:rFonts w:hint="eastAsia" w:ascii="微软雅黑" w:hAnsi="微软雅黑" w:cs="微软雅黑"/>
          <w:szCs w:val="21"/>
        </w:rPr>
        <w:t>6.3被“信用中国”网站(www.creditchina.gov.cn)或中国政府采购网(www.ccgp.gov.cn)列入失信被执行人、重大税收违法失信主体、政府采购严重违法失信行为记</w:t>
      </w:r>
      <w:r>
        <w:rPr>
          <w:rFonts w:hint="eastAsia" w:ascii="微软雅黑" w:hAnsi="微软雅黑" w:cs="微软雅黑"/>
          <w:szCs w:val="21"/>
          <w:highlight w:val="none"/>
        </w:rPr>
        <w:t>录名单的。</w:t>
      </w:r>
    </w:p>
    <w:p w14:paraId="09ED2C72">
      <w:pPr>
        <w:spacing w:line="420" w:lineRule="exact"/>
        <w:rPr>
          <w:rFonts w:hint="eastAsia" w:ascii="微软雅黑" w:hAnsi="微软雅黑" w:cs="微软雅黑"/>
          <w:b/>
          <w:bCs/>
          <w:highlight w:val="none"/>
        </w:rPr>
      </w:pPr>
      <w:bookmarkStart w:id="11" w:name="_Toc15914"/>
      <w:bookmarkStart w:id="12" w:name="_Toc35393623"/>
      <w:bookmarkStart w:id="13" w:name="_Toc35393792"/>
      <w:r>
        <w:rPr>
          <w:rFonts w:hint="eastAsia" w:ascii="微软雅黑" w:hAnsi="微软雅黑" w:cs="微软雅黑"/>
          <w:b/>
          <w:bCs/>
          <w:highlight w:val="none"/>
        </w:rPr>
        <w:t>三、获取采购文件</w:t>
      </w:r>
      <w:bookmarkEnd w:id="11"/>
      <w:bookmarkEnd w:id="12"/>
      <w:bookmarkEnd w:id="13"/>
    </w:p>
    <w:p w14:paraId="3EF882DC">
      <w:pPr>
        <w:spacing w:line="420" w:lineRule="exact"/>
        <w:ind w:firstLine="540"/>
        <w:rPr>
          <w:rFonts w:hint="eastAsia" w:ascii="微软雅黑" w:hAnsi="微软雅黑" w:cs="微软雅黑"/>
          <w:szCs w:val="21"/>
          <w:highlight w:val="none"/>
        </w:rPr>
      </w:pPr>
      <w:bookmarkStart w:id="14" w:name="_Toc35393624"/>
      <w:bookmarkStart w:id="15" w:name="_Toc1219"/>
      <w:bookmarkStart w:id="16" w:name="_Toc35393793"/>
      <w:bookmarkStart w:id="17" w:name="_Toc28359005"/>
      <w:bookmarkStart w:id="18" w:name="_Toc28359082"/>
      <w:r>
        <w:rPr>
          <w:rFonts w:hint="eastAsia" w:ascii="微软雅黑" w:hAnsi="微软雅黑" w:cs="微软雅黑"/>
          <w:szCs w:val="21"/>
          <w:highlight w:val="none"/>
        </w:rPr>
        <w:t>时间：</w:t>
      </w:r>
      <w:r>
        <w:rPr>
          <w:rFonts w:hint="eastAsia" w:ascii="微软雅黑" w:hAnsi="微软雅黑" w:cs="微软雅黑"/>
          <w:szCs w:val="21"/>
          <w:highlight w:val="none"/>
          <w:u w:val="single"/>
        </w:rPr>
        <w:t xml:space="preserve"> 2025年3月</w:t>
      </w:r>
      <w:r>
        <w:rPr>
          <w:rFonts w:hint="eastAsia" w:ascii="微软雅黑" w:hAnsi="微软雅黑" w:cs="微软雅黑"/>
          <w:szCs w:val="21"/>
          <w:highlight w:val="none"/>
          <w:u w:val="single"/>
          <w:lang w:val="en-US" w:eastAsia="zh-CN"/>
        </w:rPr>
        <w:t>18</w:t>
      </w:r>
      <w:r>
        <w:rPr>
          <w:rFonts w:hint="eastAsia" w:ascii="微软雅黑" w:hAnsi="微软雅黑" w:cs="微软雅黑"/>
          <w:szCs w:val="21"/>
          <w:highlight w:val="none"/>
          <w:u w:val="single"/>
        </w:rPr>
        <w:t>日</w:t>
      </w:r>
      <w:r>
        <w:rPr>
          <w:rFonts w:hint="eastAsia" w:ascii="微软雅黑" w:hAnsi="微软雅黑" w:cs="微软雅黑"/>
          <w:szCs w:val="21"/>
          <w:highlight w:val="none"/>
        </w:rPr>
        <w:t>至</w:t>
      </w:r>
      <w:r>
        <w:rPr>
          <w:rFonts w:hint="eastAsia" w:ascii="微软雅黑" w:hAnsi="微软雅黑" w:cs="微软雅黑"/>
          <w:szCs w:val="21"/>
          <w:highlight w:val="none"/>
          <w:u w:val="single"/>
        </w:rPr>
        <w:t xml:space="preserve"> 2025年3月</w:t>
      </w:r>
      <w:r>
        <w:rPr>
          <w:rFonts w:hint="eastAsia" w:ascii="微软雅黑" w:hAnsi="微软雅黑" w:cs="微软雅黑"/>
          <w:szCs w:val="21"/>
          <w:highlight w:val="none"/>
          <w:u w:val="single"/>
          <w:lang w:val="en-US" w:eastAsia="zh-CN"/>
        </w:rPr>
        <w:t>25</w:t>
      </w:r>
      <w:r>
        <w:rPr>
          <w:rFonts w:hint="eastAsia" w:ascii="微软雅黑" w:hAnsi="微软雅黑" w:cs="微软雅黑"/>
          <w:szCs w:val="21"/>
          <w:highlight w:val="none"/>
          <w:u w:val="single"/>
        </w:rPr>
        <w:t>日</w:t>
      </w:r>
      <w:r>
        <w:rPr>
          <w:rFonts w:hint="eastAsia" w:ascii="微软雅黑" w:hAnsi="微软雅黑" w:cs="微软雅黑"/>
          <w:szCs w:val="21"/>
          <w:highlight w:val="none"/>
        </w:rPr>
        <w:t>，每天上午</w:t>
      </w:r>
      <w:r>
        <w:rPr>
          <w:rFonts w:hint="eastAsia" w:ascii="微软雅黑" w:hAnsi="微软雅黑" w:cs="微软雅黑"/>
          <w:szCs w:val="21"/>
          <w:highlight w:val="none"/>
          <w:u w:val="single"/>
        </w:rPr>
        <w:t>09:00</w:t>
      </w:r>
      <w:r>
        <w:rPr>
          <w:rFonts w:hint="eastAsia" w:ascii="微软雅黑" w:hAnsi="微软雅黑" w:cs="微软雅黑"/>
          <w:szCs w:val="21"/>
          <w:highlight w:val="none"/>
        </w:rPr>
        <w:t>至</w:t>
      </w:r>
      <w:r>
        <w:rPr>
          <w:rFonts w:hint="eastAsia" w:ascii="微软雅黑" w:hAnsi="微软雅黑" w:cs="微软雅黑"/>
          <w:szCs w:val="21"/>
          <w:highlight w:val="none"/>
          <w:u w:val="single"/>
        </w:rPr>
        <w:t>11:30</w:t>
      </w:r>
      <w:r>
        <w:rPr>
          <w:rFonts w:hint="eastAsia" w:ascii="微软雅黑" w:hAnsi="微软雅黑" w:cs="微软雅黑"/>
          <w:szCs w:val="21"/>
          <w:highlight w:val="none"/>
        </w:rPr>
        <w:t>，下午</w:t>
      </w:r>
      <w:r>
        <w:rPr>
          <w:rFonts w:hint="eastAsia" w:ascii="微软雅黑" w:hAnsi="微软雅黑" w:cs="微软雅黑"/>
          <w:szCs w:val="21"/>
          <w:highlight w:val="none"/>
          <w:u w:val="single"/>
        </w:rPr>
        <w:t>13:30</w:t>
      </w:r>
      <w:r>
        <w:rPr>
          <w:rFonts w:hint="eastAsia" w:ascii="微软雅黑" w:hAnsi="微软雅黑" w:cs="微软雅黑"/>
          <w:szCs w:val="21"/>
          <w:highlight w:val="none"/>
        </w:rPr>
        <w:t>至</w:t>
      </w:r>
      <w:r>
        <w:rPr>
          <w:rFonts w:hint="eastAsia" w:ascii="微软雅黑" w:hAnsi="微软雅黑" w:cs="微软雅黑"/>
          <w:szCs w:val="21"/>
          <w:highlight w:val="none"/>
          <w:u w:val="single"/>
        </w:rPr>
        <w:t>17:00</w:t>
      </w:r>
      <w:r>
        <w:rPr>
          <w:rFonts w:hint="eastAsia" w:ascii="微软雅黑" w:hAnsi="微软雅黑" w:cs="微软雅黑"/>
          <w:szCs w:val="21"/>
          <w:highlight w:val="none"/>
        </w:rPr>
        <w:t>（北京时间，法定节假日除外）</w:t>
      </w:r>
    </w:p>
    <w:p w14:paraId="467841EF">
      <w:pPr>
        <w:spacing w:line="420" w:lineRule="exact"/>
        <w:ind w:firstLine="540"/>
        <w:rPr>
          <w:rFonts w:hint="eastAsia" w:ascii="微软雅黑" w:hAnsi="微软雅黑" w:cs="微软雅黑"/>
          <w:szCs w:val="21"/>
          <w:highlight w:val="none"/>
        </w:rPr>
      </w:pPr>
      <w:r>
        <w:rPr>
          <w:rFonts w:hint="eastAsia" w:ascii="微软雅黑" w:hAnsi="微软雅黑" w:cs="微软雅黑"/>
          <w:szCs w:val="21"/>
          <w:highlight w:val="none"/>
        </w:rPr>
        <w:t>地点：本项目接受通过邮箱或现场获取采购文件。</w:t>
      </w:r>
    </w:p>
    <w:p w14:paraId="60D4B70C">
      <w:pPr>
        <w:spacing w:line="420" w:lineRule="exact"/>
        <w:ind w:firstLine="540"/>
        <w:rPr>
          <w:rFonts w:hint="eastAsia" w:ascii="微软雅黑" w:hAnsi="微软雅黑" w:cs="微软雅黑"/>
          <w:szCs w:val="21"/>
        </w:rPr>
      </w:pPr>
      <w:r>
        <w:rPr>
          <w:rFonts w:hint="eastAsia" w:ascii="微软雅黑" w:hAnsi="微软雅黑" w:cs="微软雅黑"/>
          <w:szCs w:val="21"/>
          <w:highlight w:val="none"/>
        </w:rPr>
        <w:t>方式：通</w:t>
      </w:r>
      <w:r>
        <w:rPr>
          <w:rFonts w:hint="eastAsia" w:ascii="微软雅黑" w:hAnsi="微软雅黑" w:cs="微软雅黑"/>
          <w:szCs w:val="21"/>
        </w:rPr>
        <w:t>过邮箱或现场获取，供应商如确定参加投标，须按要求获取采购文件，否则投标无效。</w:t>
      </w:r>
    </w:p>
    <w:p w14:paraId="0CEC08D4">
      <w:pPr>
        <w:spacing w:line="420" w:lineRule="exact"/>
        <w:ind w:firstLine="540"/>
        <w:rPr>
          <w:rFonts w:hint="eastAsia" w:ascii="微软雅黑" w:hAnsi="微软雅黑" w:cs="微软雅黑"/>
          <w:szCs w:val="21"/>
        </w:rPr>
      </w:pPr>
      <w:r>
        <w:rPr>
          <w:rFonts w:hint="eastAsia" w:ascii="微软雅黑" w:hAnsi="微软雅黑" w:cs="微软雅黑"/>
          <w:szCs w:val="21"/>
        </w:rPr>
        <w:t>采购文件售价：¥500（采购文件售后一概不退）</w:t>
      </w:r>
    </w:p>
    <w:p w14:paraId="2501BE88">
      <w:pPr>
        <w:spacing w:line="420" w:lineRule="exact"/>
        <w:ind w:firstLine="540"/>
        <w:rPr>
          <w:rFonts w:hint="eastAsia" w:ascii="微软雅黑" w:hAnsi="微软雅黑" w:cs="微软雅黑"/>
          <w:b/>
          <w:bCs/>
          <w:szCs w:val="21"/>
        </w:rPr>
      </w:pPr>
      <w:r>
        <w:rPr>
          <w:rFonts w:hint="eastAsia" w:ascii="微软雅黑" w:hAnsi="微软雅黑" w:cs="微软雅黑"/>
          <w:szCs w:val="21"/>
        </w:rPr>
        <w:t>获取采购文件须提供的资料：加盖公章的授权委托书原件或扫描件、加盖公章的被委托人身份证复印件或扫描件，及汇款凭据的截图（付款码见附件）</w:t>
      </w:r>
      <w:r>
        <w:rPr>
          <w:rFonts w:hint="eastAsia" w:ascii="微软雅黑" w:hAnsi="微软雅黑" w:cs="微软雅黑"/>
          <w:b/>
          <w:bCs/>
        </w:rPr>
        <w:t>（转账时请务必备注公司名称+1</w:t>
      </w:r>
      <w:r>
        <w:rPr>
          <w:rFonts w:hint="eastAsia" w:ascii="微软雅黑" w:hAnsi="微软雅黑" w:cs="微软雅黑"/>
          <w:b/>
          <w:bCs/>
          <w:lang w:val="en-US" w:eastAsia="zh-CN"/>
        </w:rPr>
        <w:t>00</w:t>
      </w:r>
      <w:r>
        <w:rPr>
          <w:rFonts w:hint="eastAsia" w:ascii="微软雅黑" w:hAnsi="微软雅黑" w:cs="微软雅黑"/>
          <w:b/>
          <w:bCs/>
        </w:rPr>
        <w:t>A</w:t>
      </w:r>
      <w:r>
        <w:rPr>
          <w:rFonts w:hint="eastAsia" w:ascii="微软雅黑" w:hAnsi="微软雅黑" w:cs="微软雅黑"/>
          <w:b/>
          <w:bCs/>
          <w:lang w:val="en-US" w:eastAsia="zh-CN"/>
        </w:rPr>
        <w:t>5</w:t>
      </w:r>
      <w:r>
        <w:rPr>
          <w:rFonts w:hint="eastAsia" w:ascii="微软雅黑" w:hAnsi="微软雅黑" w:cs="微软雅黑"/>
          <w:b/>
          <w:bCs/>
        </w:rPr>
        <w:t>）</w:t>
      </w:r>
      <w:r>
        <w:rPr>
          <w:rFonts w:hint="eastAsia" w:ascii="微软雅黑" w:hAnsi="微软雅黑" w:cs="微软雅黑"/>
          <w:b/>
          <w:bCs/>
          <w:szCs w:val="21"/>
        </w:rPr>
        <w:t>。</w:t>
      </w:r>
    </w:p>
    <w:p w14:paraId="31C1A50C">
      <w:pPr>
        <w:spacing w:line="420" w:lineRule="exact"/>
        <w:ind w:firstLine="540"/>
        <w:rPr>
          <w:rFonts w:hint="eastAsia" w:ascii="微软雅黑" w:hAnsi="微软雅黑" w:cs="微软雅黑"/>
          <w:szCs w:val="21"/>
        </w:rPr>
      </w:pPr>
      <w:r>
        <w:rPr>
          <w:rFonts w:hint="eastAsia" w:ascii="微软雅黑" w:hAnsi="微软雅黑" w:cs="微软雅黑"/>
          <w:b/>
          <w:bCs/>
          <w:szCs w:val="21"/>
        </w:rPr>
        <w:t>获取采购文件电话：025-83609953    邮箱：jshc3333@163.com</w:t>
      </w:r>
      <w:r>
        <w:rPr>
          <w:rFonts w:hint="eastAsia" w:ascii="微软雅黑" w:hAnsi="微软雅黑" w:cs="微软雅黑"/>
          <w:szCs w:val="21"/>
        </w:rPr>
        <w:t xml:space="preserve"> </w:t>
      </w:r>
    </w:p>
    <w:p w14:paraId="7AABD014">
      <w:pPr>
        <w:spacing w:line="420" w:lineRule="exact"/>
        <w:rPr>
          <w:rFonts w:hint="eastAsia" w:ascii="微软雅黑" w:hAnsi="微软雅黑" w:cs="微软雅黑"/>
          <w:b/>
          <w:szCs w:val="21"/>
          <w:highlight w:val="none"/>
        </w:rPr>
      </w:pPr>
      <w:r>
        <w:rPr>
          <w:rFonts w:hint="eastAsia" w:ascii="微软雅黑" w:hAnsi="微软雅黑" w:cs="微软雅黑"/>
          <w:b/>
          <w:szCs w:val="21"/>
          <w:highlight w:val="none"/>
        </w:rPr>
        <w:t>四、</w:t>
      </w:r>
      <w:bookmarkEnd w:id="14"/>
      <w:bookmarkEnd w:id="15"/>
      <w:bookmarkEnd w:id="16"/>
      <w:bookmarkEnd w:id="17"/>
      <w:bookmarkEnd w:id="18"/>
      <w:r>
        <w:rPr>
          <w:rFonts w:hint="eastAsia" w:ascii="微软雅黑" w:hAnsi="微软雅黑" w:cs="微软雅黑"/>
          <w:b/>
          <w:szCs w:val="21"/>
          <w:highlight w:val="none"/>
        </w:rPr>
        <w:t>提交投标文件截止时间、开标时间和地点</w:t>
      </w:r>
    </w:p>
    <w:p w14:paraId="681ACD53">
      <w:pPr>
        <w:spacing w:line="420" w:lineRule="exact"/>
        <w:ind w:firstLine="420" w:firstLineChars="200"/>
        <w:rPr>
          <w:rFonts w:hint="eastAsia" w:ascii="微软雅黑" w:hAnsi="微软雅黑" w:cs="微软雅黑"/>
          <w:bCs/>
          <w:szCs w:val="21"/>
          <w:highlight w:val="none"/>
        </w:rPr>
      </w:pPr>
      <w:r>
        <w:rPr>
          <w:rFonts w:hint="eastAsia" w:ascii="微软雅黑" w:hAnsi="微软雅黑" w:cs="微软雅黑"/>
          <w:bCs/>
          <w:szCs w:val="21"/>
          <w:highlight w:val="none"/>
        </w:rPr>
        <w:t>截止时间：</w:t>
      </w:r>
      <w:r>
        <w:rPr>
          <w:rFonts w:hint="eastAsia" w:ascii="微软雅黑" w:hAnsi="微软雅黑" w:cs="微软雅黑"/>
          <w:szCs w:val="21"/>
          <w:highlight w:val="none"/>
        </w:rPr>
        <w:t>2025年</w:t>
      </w:r>
      <w:r>
        <w:rPr>
          <w:rFonts w:hint="eastAsia" w:ascii="微软雅黑" w:hAnsi="微软雅黑" w:cs="微软雅黑"/>
          <w:szCs w:val="21"/>
          <w:highlight w:val="none"/>
          <w:lang w:val="en-US" w:eastAsia="zh-CN"/>
        </w:rPr>
        <w:t>4</w:t>
      </w:r>
      <w:r>
        <w:rPr>
          <w:rFonts w:hint="eastAsia" w:ascii="微软雅黑" w:hAnsi="微软雅黑" w:cs="微软雅黑"/>
          <w:szCs w:val="21"/>
          <w:highlight w:val="none"/>
        </w:rPr>
        <w:t>月</w:t>
      </w:r>
      <w:r>
        <w:rPr>
          <w:rFonts w:hint="eastAsia" w:ascii="微软雅黑" w:hAnsi="微软雅黑" w:cs="微软雅黑"/>
          <w:szCs w:val="21"/>
          <w:highlight w:val="none"/>
          <w:lang w:val="en-US" w:eastAsia="zh-CN"/>
        </w:rPr>
        <w:t>8</w:t>
      </w:r>
      <w:r>
        <w:rPr>
          <w:rFonts w:hint="eastAsia" w:ascii="微软雅黑" w:hAnsi="微软雅黑" w:cs="微软雅黑"/>
          <w:szCs w:val="21"/>
          <w:highlight w:val="none"/>
        </w:rPr>
        <w:t>日14</w:t>
      </w:r>
      <w:r>
        <w:rPr>
          <w:rFonts w:hint="eastAsia" w:ascii="微软雅黑" w:hAnsi="微软雅黑" w:cs="微软雅黑"/>
          <w:bCs/>
          <w:szCs w:val="21"/>
          <w:highlight w:val="none"/>
        </w:rPr>
        <w:t>点00分00秒（北京时间）</w:t>
      </w:r>
    </w:p>
    <w:p w14:paraId="22E877D5">
      <w:pPr>
        <w:spacing w:line="420" w:lineRule="exact"/>
        <w:ind w:firstLine="420" w:firstLineChars="200"/>
        <w:rPr>
          <w:rFonts w:hint="eastAsia" w:ascii="微软雅黑" w:hAnsi="微软雅黑" w:cs="微软雅黑"/>
          <w:bCs/>
          <w:szCs w:val="21"/>
          <w:highlight w:val="none"/>
        </w:rPr>
      </w:pPr>
      <w:r>
        <w:rPr>
          <w:rFonts w:hint="eastAsia" w:ascii="微软雅黑" w:hAnsi="微软雅黑" w:cs="微软雅黑"/>
          <w:bCs/>
          <w:szCs w:val="21"/>
          <w:highlight w:val="none"/>
        </w:rPr>
        <w:t>开标时间：</w:t>
      </w:r>
      <w:r>
        <w:rPr>
          <w:rFonts w:hint="eastAsia" w:ascii="微软雅黑" w:hAnsi="微软雅黑" w:cs="微软雅黑"/>
          <w:szCs w:val="21"/>
          <w:highlight w:val="none"/>
        </w:rPr>
        <w:t>2025年</w:t>
      </w:r>
      <w:r>
        <w:rPr>
          <w:rFonts w:hint="eastAsia" w:ascii="微软雅黑" w:hAnsi="微软雅黑" w:cs="微软雅黑"/>
          <w:szCs w:val="21"/>
          <w:highlight w:val="none"/>
          <w:lang w:val="en-US" w:eastAsia="zh-CN"/>
        </w:rPr>
        <w:t>4</w:t>
      </w:r>
      <w:r>
        <w:rPr>
          <w:rFonts w:hint="eastAsia" w:ascii="微软雅黑" w:hAnsi="微软雅黑" w:cs="微软雅黑"/>
          <w:szCs w:val="21"/>
          <w:highlight w:val="none"/>
        </w:rPr>
        <w:t>月</w:t>
      </w:r>
      <w:r>
        <w:rPr>
          <w:rFonts w:hint="eastAsia" w:ascii="微软雅黑" w:hAnsi="微软雅黑" w:cs="微软雅黑"/>
          <w:szCs w:val="21"/>
          <w:highlight w:val="none"/>
          <w:lang w:val="en-US" w:eastAsia="zh-CN"/>
        </w:rPr>
        <w:t>8</w:t>
      </w:r>
      <w:r>
        <w:rPr>
          <w:rFonts w:hint="eastAsia" w:ascii="微软雅黑" w:hAnsi="微软雅黑" w:cs="微软雅黑"/>
          <w:szCs w:val="21"/>
          <w:highlight w:val="none"/>
        </w:rPr>
        <w:t>日14</w:t>
      </w:r>
      <w:r>
        <w:rPr>
          <w:rFonts w:hint="eastAsia" w:ascii="微软雅黑" w:hAnsi="微软雅黑" w:cs="微软雅黑"/>
          <w:bCs/>
          <w:szCs w:val="21"/>
          <w:highlight w:val="none"/>
        </w:rPr>
        <w:t>点00分后（北京时间）</w:t>
      </w:r>
    </w:p>
    <w:p w14:paraId="6A8A5E13">
      <w:pPr>
        <w:spacing w:line="420" w:lineRule="exact"/>
        <w:ind w:firstLine="420" w:firstLineChars="200"/>
        <w:rPr>
          <w:rFonts w:hint="eastAsia" w:ascii="微软雅黑" w:hAnsi="微软雅黑" w:cs="微软雅黑"/>
          <w:szCs w:val="21"/>
          <w:highlight w:val="none"/>
        </w:rPr>
      </w:pPr>
      <w:r>
        <w:rPr>
          <w:rFonts w:hint="eastAsia" w:ascii="微软雅黑" w:hAnsi="微软雅黑" w:cs="微软雅黑"/>
          <w:szCs w:val="21"/>
          <w:highlight w:val="none"/>
        </w:rPr>
        <w:t xml:space="preserve">地点：南京市建邺区嘉陵江东街8号综合体B3栋一单元16层开标大厅 </w:t>
      </w:r>
    </w:p>
    <w:p w14:paraId="29811CC5">
      <w:pPr>
        <w:spacing w:line="420" w:lineRule="exact"/>
        <w:rPr>
          <w:rFonts w:hint="eastAsia" w:ascii="微软雅黑" w:hAnsi="微软雅黑" w:cs="微软雅黑"/>
          <w:b/>
          <w:bCs/>
        </w:rPr>
      </w:pPr>
      <w:bookmarkStart w:id="19" w:name="_Toc35393794"/>
      <w:bookmarkStart w:id="20" w:name="_Toc28359084"/>
      <w:bookmarkStart w:id="21" w:name="_Toc28359007"/>
      <w:bookmarkStart w:id="22" w:name="_Toc35393625"/>
      <w:bookmarkStart w:id="23" w:name="_Toc31210"/>
      <w:r>
        <w:rPr>
          <w:rFonts w:hint="eastAsia" w:ascii="微软雅黑" w:hAnsi="微软雅黑" w:cs="微软雅黑"/>
          <w:b/>
          <w:bCs/>
        </w:rPr>
        <w:t>五、公告期限</w:t>
      </w:r>
      <w:bookmarkEnd w:id="19"/>
      <w:bookmarkEnd w:id="20"/>
      <w:bookmarkEnd w:id="21"/>
      <w:bookmarkEnd w:id="22"/>
      <w:bookmarkEnd w:id="23"/>
    </w:p>
    <w:p w14:paraId="63A68806">
      <w:pPr>
        <w:spacing w:line="420" w:lineRule="exact"/>
        <w:ind w:firstLine="420" w:firstLineChars="200"/>
        <w:rPr>
          <w:rFonts w:hint="eastAsia" w:ascii="微软雅黑" w:hAnsi="微软雅黑" w:cs="微软雅黑"/>
        </w:rPr>
      </w:pPr>
      <w:r>
        <w:rPr>
          <w:rFonts w:hint="eastAsia" w:ascii="微软雅黑" w:hAnsi="微软雅黑" w:cs="微软雅黑"/>
          <w:kern w:val="0"/>
          <w:szCs w:val="21"/>
        </w:rPr>
        <w:t>自本公告发布之日起5个工作日。</w:t>
      </w:r>
    </w:p>
    <w:p w14:paraId="3CBE547D">
      <w:pPr>
        <w:spacing w:line="420" w:lineRule="exact"/>
        <w:rPr>
          <w:rFonts w:hint="eastAsia" w:ascii="微软雅黑" w:hAnsi="微软雅黑" w:cs="微软雅黑"/>
          <w:b/>
          <w:bCs/>
        </w:rPr>
      </w:pPr>
      <w:bookmarkStart w:id="24" w:name="_Toc35393795"/>
      <w:bookmarkStart w:id="25" w:name="_Toc19985"/>
      <w:bookmarkStart w:id="26" w:name="_Toc35393626"/>
      <w:r>
        <w:rPr>
          <w:rFonts w:hint="eastAsia" w:ascii="微软雅黑" w:hAnsi="微软雅黑" w:cs="微软雅黑"/>
          <w:b/>
          <w:bCs/>
        </w:rPr>
        <w:t>六、其他补充事宜</w:t>
      </w:r>
      <w:bookmarkEnd w:id="24"/>
      <w:bookmarkEnd w:id="25"/>
      <w:bookmarkEnd w:id="26"/>
    </w:p>
    <w:p w14:paraId="593AB8E0">
      <w:pPr>
        <w:spacing w:line="420" w:lineRule="exact"/>
        <w:ind w:firstLine="420" w:firstLineChars="200"/>
        <w:rPr>
          <w:rFonts w:hint="eastAsia" w:ascii="微软雅黑" w:hAnsi="微软雅黑" w:cs="微软雅黑"/>
          <w:szCs w:val="21"/>
        </w:rPr>
      </w:pPr>
      <w:r>
        <w:rPr>
          <w:rFonts w:hint="eastAsia" w:ascii="微软雅黑" w:hAnsi="微软雅黑" w:cs="微软雅黑"/>
          <w:szCs w:val="21"/>
        </w:rPr>
        <w:t xml:space="preserve">1.评标方法和标准：采用综合评分法。     </w:t>
      </w:r>
    </w:p>
    <w:p w14:paraId="03514DEF">
      <w:pPr>
        <w:snapToGrid w:val="0"/>
        <w:spacing w:line="440" w:lineRule="exact"/>
        <w:ind w:firstLine="420" w:firstLineChars="200"/>
        <w:rPr>
          <w:rFonts w:hint="eastAsia" w:ascii="微软雅黑" w:hAnsi="微软雅黑" w:cs="微软雅黑"/>
          <w:color w:val="auto"/>
          <w:szCs w:val="21"/>
        </w:rPr>
      </w:pPr>
      <w:r>
        <w:rPr>
          <w:rFonts w:hint="eastAsia" w:ascii="微软雅黑" w:hAnsi="微软雅黑" w:cs="微软雅黑"/>
          <w:color w:val="auto"/>
          <w:szCs w:val="21"/>
        </w:rPr>
        <w:t>2.此公告在</w:t>
      </w:r>
      <w:r>
        <w:rPr>
          <w:rFonts w:hint="eastAsia" w:ascii="微软雅黑" w:hAnsi="微软雅黑" w:cs="微软雅黑"/>
          <w:color w:val="auto"/>
          <w:szCs w:val="21"/>
          <w:lang w:eastAsia="zh-CN"/>
        </w:rPr>
        <w:t>江苏省华采招标有限公司官网</w:t>
      </w:r>
      <w:r>
        <w:rPr>
          <w:rFonts w:hint="eastAsia" w:ascii="微软雅黑" w:hAnsi="微软雅黑" w:cs="微软雅黑"/>
          <w:color w:val="auto"/>
          <w:szCs w:val="21"/>
        </w:rPr>
        <w:t>发布。</w:t>
      </w:r>
    </w:p>
    <w:p w14:paraId="55109B0E">
      <w:pPr>
        <w:spacing w:line="420" w:lineRule="exact"/>
        <w:rPr>
          <w:rFonts w:hint="eastAsia" w:ascii="微软雅黑" w:hAnsi="微软雅黑" w:cs="微软雅黑"/>
          <w:b/>
          <w:bCs/>
        </w:rPr>
      </w:pPr>
      <w:r>
        <w:rPr>
          <w:rFonts w:hint="eastAsia" w:ascii="微软雅黑" w:hAnsi="微软雅黑" w:cs="微软雅黑"/>
          <w:b/>
          <w:bCs/>
        </w:rPr>
        <w:t>七、对本次招标提出询问，请按以下方式联系。</w:t>
      </w:r>
    </w:p>
    <w:p w14:paraId="0E8E4B31">
      <w:pPr>
        <w:spacing w:line="420" w:lineRule="exact"/>
        <w:ind w:firstLine="420" w:firstLineChars="200"/>
        <w:rPr>
          <w:rFonts w:hint="eastAsia" w:ascii="微软雅黑" w:hAnsi="微软雅黑" w:cs="微软雅黑"/>
          <w:bCs/>
          <w:szCs w:val="21"/>
        </w:rPr>
      </w:pPr>
      <w:bookmarkStart w:id="27" w:name="_Toc28359019"/>
      <w:bookmarkStart w:id="28" w:name="_Toc28359096"/>
      <w:bookmarkStart w:id="29" w:name="_Toc35393637"/>
      <w:bookmarkStart w:id="30" w:name="_Toc35393806"/>
      <w:r>
        <w:rPr>
          <w:rFonts w:hint="eastAsia" w:ascii="微软雅黑" w:hAnsi="微软雅黑" w:cs="微软雅黑"/>
          <w:bCs/>
          <w:szCs w:val="21"/>
        </w:rPr>
        <w:t>1.采购人信息</w:t>
      </w:r>
      <w:bookmarkEnd w:id="27"/>
      <w:bookmarkEnd w:id="28"/>
      <w:bookmarkEnd w:id="29"/>
      <w:bookmarkEnd w:id="30"/>
    </w:p>
    <w:p w14:paraId="23F03C4D">
      <w:pPr>
        <w:spacing w:line="420" w:lineRule="exact"/>
        <w:ind w:firstLine="630" w:firstLineChars="300"/>
        <w:jc w:val="left"/>
        <w:rPr>
          <w:rFonts w:hint="eastAsia" w:ascii="微软雅黑" w:hAnsi="微软雅黑" w:cs="微软雅黑"/>
          <w:bCs/>
          <w:szCs w:val="21"/>
        </w:rPr>
      </w:pPr>
      <w:r>
        <w:rPr>
          <w:rFonts w:hint="eastAsia" w:ascii="微软雅黑" w:hAnsi="微软雅黑" w:cs="微软雅黑"/>
          <w:bCs/>
          <w:szCs w:val="21"/>
        </w:rPr>
        <w:t>名    称：南京南大国际会议中心有限公司　　　　</w:t>
      </w:r>
    </w:p>
    <w:p w14:paraId="623DC820">
      <w:pPr>
        <w:spacing w:line="420" w:lineRule="exact"/>
        <w:ind w:firstLine="630" w:firstLineChars="300"/>
        <w:jc w:val="left"/>
        <w:rPr>
          <w:rFonts w:hint="eastAsia" w:ascii="微软雅黑" w:hAnsi="微软雅黑" w:cs="微软雅黑"/>
          <w:bCs/>
          <w:szCs w:val="21"/>
        </w:rPr>
      </w:pPr>
      <w:r>
        <w:rPr>
          <w:rFonts w:hint="eastAsia" w:ascii="微软雅黑" w:hAnsi="微软雅黑" w:cs="微软雅黑"/>
          <w:bCs/>
          <w:szCs w:val="21"/>
        </w:rPr>
        <w:t>地    址：南京市栖霞区仙林大道163号 　　　</w:t>
      </w:r>
    </w:p>
    <w:p w14:paraId="1BCD4990">
      <w:pPr>
        <w:spacing w:line="420" w:lineRule="exact"/>
        <w:ind w:firstLine="630" w:firstLineChars="300"/>
        <w:jc w:val="left"/>
        <w:rPr>
          <w:rFonts w:hint="eastAsia" w:ascii="微软雅黑" w:hAnsi="微软雅黑" w:cs="微软雅黑"/>
          <w:bCs/>
          <w:color w:val="auto"/>
          <w:szCs w:val="21"/>
          <w:highlight w:val="none"/>
        </w:rPr>
      </w:pPr>
      <w:r>
        <w:rPr>
          <w:rFonts w:hint="eastAsia" w:ascii="微软雅黑" w:hAnsi="微软雅黑" w:cs="微软雅黑"/>
          <w:bCs/>
          <w:color w:val="auto"/>
          <w:szCs w:val="21"/>
          <w:highlight w:val="none"/>
        </w:rPr>
        <w:t xml:space="preserve">联系方式：王经理 025-89686666-6080　　   　 </w:t>
      </w:r>
    </w:p>
    <w:p w14:paraId="4D6D675C">
      <w:pPr>
        <w:spacing w:line="420" w:lineRule="exact"/>
        <w:ind w:firstLine="420" w:firstLineChars="200"/>
        <w:rPr>
          <w:rFonts w:hint="eastAsia" w:ascii="微软雅黑" w:hAnsi="微软雅黑" w:cs="微软雅黑"/>
          <w:bCs/>
          <w:szCs w:val="21"/>
        </w:rPr>
      </w:pPr>
      <w:bookmarkStart w:id="31" w:name="_Toc28359020"/>
      <w:bookmarkStart w:id="32" w:name="_Toc28359097"/>
      <w:bookmarkStart w:id="33" w:name="_Toc35393638"/>
      <w:bookmarkStart w:id="34" w:name="_Toc35393807"/>
      <w:r>
        <w:rPr>
          <w:rFonts w:hint="eastAsia" w:ascii="微软雅黑" w:hAnsi="微软雅黑" w:cs="微软雅黑"/>
          <w:bCs/>
          <w:szCs w:val="21"/>
        </w:rPr>
        <w:t>2.采购代理机构信息</w:t>
      </w:r>
      <w:bookmarkEnd w:id="31"/>
      <w:bookmarkEnd w:id="32"/>
      <w:bookmarkEnd w:id="33"/>
      <w:bookmarkEnd w:id="34"/>
    </w:p>
    <w:p w14:paraId="06E34C8F">
      <w:pPr>
        <w:spacing w:line="420" w:lineRule="exact"/>
        <w:ind w:firstLine="630" w:firstLineChars="300"/>
        <w:rPr>
          <w:rFonts w:hint="eastAsia" w:ascii="微软雅黑" w:hAnsi="微软雅黑" w:cs="微软雅黑"/>
          <w:bCs/>
          <w:szCs w:val="21"/>
        </w:rPr>
      </w:pPr>
      <w:r>
        <w:rPr>
          <w:rFonts w:hint="eastAsia" w:ascii="微软雅黑" w:hAnsi="微软雅黑" w:cs="微软雅黑"/>
          <w:bCs/>
          <w:szCs w:val="21"/>
        </w:rPr>
        <w:t>名    称：江苏省华采招标有限公司　　　　　　　</w:t>
      </w:r>
    </w:p>
    <w:p w14:paraId="40287C84">
      <w:pPr>
        <w:spacing w:line="420" w:lineRule="exact"/>
        <w:ind w:firstLine="630" w:firstLineChars="300"/>
        <w:rPr>
          <w:rFonts w:hint="eastAsia" w:ascii="微软雅黑" w:hAnsi="微软雅黑" w:cs="微软雅黑"/>
          <w:bCs/>
          <w:szCs w:val="21"/>
          <w:highlight w:val="none"/>
        </w:rPr>
      </w:pPr>
      <w:r>
        <w:rPr>
          <w:rFonts w:hint="eastAsia" w:ascii="微软雅黑" w:hAnsi="微软雅黑" w:cs="微软雅黑"/>
          <w:bCs/>
          <w:szCs w:val="21"/>
          <w:highlight w:val="none"/>
        </w:rPr>
        <w:t>地　　址：南京市建邺区嘉陵江东街8号综合体B3栋</w:t>
      </w:r>
      <w:r>
        <w:rPr>
          <w:rFonts w:hint="eastAsia" w:ascii="微软雅黑" w:hAnsi="微软雅黑" w:cs="微软雅黑"/>
          <w:sz w:val="22"/>
          <w:highlight w:val="none"/>
        </w:rPr>
        <w:t>一单元</w:t>
      </w:r>
      <w:r>
        <w:rPr>
          <w:rFonts w:hint="eastAsia" w:ascii="微软雅黑" w:hAnsi="微软雅黑" w:cs="微软雅黑"/>
          <w:bCs/>
          <w:szCs w:val="21"/>
          <w:highlight w:val="none"/>
        </w:rPr>
        <w:t>16层　　　　　　　　</w:t>
      </w:r>
    </w:p>
    <w:p w14:paraId="4323270F">
      <w:pPr>
        <w:spacing w:line="420" w:lineRule="exact"/>
        <w:ind w:firstLine="630" w:firstLineChars="300"/>
        <w:rPr>
          <w:rFonts w:hint="eastAsia" w:ascii="微软雅黑" w:hAnsi="微软雅黑" w:cs="微软雅黑"/>
          <w:bCs/>
          <w:szCs w:val="21"/>
          <w:highlight w:val="none"/>
        </w:rPr>
      </w:pPr>
      <w:r>
        <w:rPr>
          <w:rFonts w:hint="eastAsia" w:ascii="微软雅黑" w:hAnsi="微软雅黑" w:cs="微软雅黑"/>
          <w:bCs/>
          <w:szCs w:val="21"/>
          <w:highlight w:val="none"/>
        </w:rPr>
        <w:t>联系方式：张婷/</w:t>
      </w:r>
      <w:r>
        <w:rPr>
          <w:rFonts w:hint="eastAsia" w:ascii="微软雅黑" w:hAnsi="微软雅黑" w:cs="微软雅黑"/>
          <w:bCs/>
          <w:szCs w:val="21"/>
          <w:highlight w:val="none"/>
          <w:lang w:val="en-US" w:eastAsia="zh-CN"/>
        </w:rPr>
        <w:t>陈玥</w:t>
      </w:r>
      <w:r>
        <w:rPr>
          <w:rFonts w:hint="eastAsia" w:ascii="微软雅黑" w:hAnsi="微软雅黑" w:cs="微软雅黑"/>
          <w:bCs/>
          <w:szCs w:val="21"/>
          <w:highlight w:val="none"/>
        </w:rPr>
        <w:t xml:space="preserve"> 025-83603378　　　　　　　  　　　</w:t>
      </w:r>
    </w:p>
    <w:p w14:paraId="13BA3E79">
      <w:pPr>
        <w:spacing w:line="420" w:lineRule="exact"/>
        <w:ind w:firstLine="420" w:firstLineChars="200"/>
        <w:rPr>
          <w:rFonts w:hint="eastAsia" w:ascii="微软雅黑" w:hAnsi="微软雅黑" w:cs="微软雅黑"/>
          <w:bCs/>
          <w:szCs w:val="21"/>
          <w:highlight w:val="none"/>
        </w:rPr>
      </w:pPr>
      <w:bookmarkStart w:id="35" w:name="_Toc35393639"/>
      <w:bookmarkStart w:id="36" w:name="_Toc35393808"/>
      <w:bookmarkStart w:id="37" w:name="_Toc28359021"/>
      <w:bookmarkStart w:id="38" w:name="_Toc28359098"/>
      <w:r>
        <w:rPr>
          <w:rFonts w:hint="eastAsia" w:ascii="微软雅黑" w:hAnsi="微软雅黑" w:cs="微软雅黑"/>
          <w:bCs/>
          <w:szCs w:val="21"/>
          <w:highlight w:val="none"/>
        </w:rPr>
        <w:t>3.项目联系方式</w:t>
      </w:r>
      <w:bookmarkEnd w:id="35"/>
      <w:bookmarkEnd w:id="36"/>
      <w:bookmarkEnd w:id="37"/>
      <w:bookmarkEnd w:id="38"/>
    </w:p>
    <w:p w14:paraId="2B29B4E2">
      <w:pPr>
        <w:snapToGrid w:val="0"/>
        <w:spacing w:line="440" w:lineRule="exact"/>
        <w:ind w:firstLine="630" w:firstLineChars="300"/>
        <w:rPr>
          <w:rFonts w:hint="eastAsia" w:ascii="微软雅黑" w:hAnsi="微软雅黑" w:cs="微软雅黑"/>
          <w:szCs w:val="21"/>
          <w:highlight w:val="none"/>
        </w:rPr>
      </w:pPr>
      <w:r>
        <w:rPr>
          <w:rFonts w:hint="eastAsia" w:ascii="微软雅黑" w:hAnsi="微软雅黑" w:cs="微软雅黑"/>
          <w:bCs/>
          <w:szCs w:val="21"/>
          <w:highlight w:val="none"/>
        </w:rPr>
        <w:t>项目联系人：张婷/陈玥</w:t>
      </w:r>
      <w:r>
        <w:rPr>
          <w:rFonts w:hint="eastAsia" w:ascii="微软雅黑" w:hAnsi="微软雅黑" w:cs="微软雅黑"/>
          <w:szCs w:val="21"/>
          <w:highlight w:val="none"/>
        </w:rPr>
        <w:t xml:space="preserve">   </w:t>
      </w:r>
    </w:p>
    <w:p w14:paraId="3AF02114">
      <w:pPr>
        <w:snapToGrid w:val="0"/>
        <w:spacing w:line="440" w:lineRule="exact"/>
        <w:ind w:firstLine="630" w:firstLineChars="300"/>
        <w:rPr>
          <w:rFonts w:ascii="微软雅黑" w:hAnsi="微软雅黑" w:cs="微软雅黑"/>
          <w:szCs w:val="21"/>
          <w:highlight w:val="none"/>
        </w:rPr>
      </w:pPr>
      <w:r>
        <w:rPr>
          <w:rFonts w:hint="eastAsia" w:ascii="微软雅黑" w:hAnsi="微软雅黑" w:cs="微软雅黑"/>
          <w:szCs w:val="21"/>
          <w:highlight w:val="none"/>
        </w:rPr>
        <w:t>电　　 话：025-83603378</w:t>
      </w:r>
    </w:p>
    <w:p w14:paraId="27054783">
      <w:pPr>
        <w:jc w:val="center"/>
      </w:pPr>
    </w:p>
    <w:p w14:paraId="6C63360C">
      <w:pPr>
        <w:pStyle w:val="2"/>
      </w:pPr>
    </w:p>
    <w:p w14:paraId="19520877">
      <w:pPr>
        <w:pStyle w:val="2"/>
      </w:pPr>
    </w:p>
    <w:p w14:paraId="430EEBC8">
      <w:pPr>
        <w:pStyle w:val="2"/>
      </w:pPr>
    </w:p>
    <w:p w14:paraId="3C1FB16D">
      <w:pPr>
        <w:pStyle w:val="2"/>
      </w:pPr>
    </w:p>
    <w:p w14:paraId="55BB1478">
      <w:pPr>
        <w:pStyle w:val="2"/>
      </w:pPr>
    </w:p>
    <w:p w14:paraId="06E5E4C6">
      <w:pPr>
        <w:pStyle w:val="2"/>
      </w:pPr>
    </w:p>
    <w:p w14:paraId="7D53559A">
      <w:pPr>
        <w:pStyle w:val="2"/>
      </w:pPr>
    </w:p>
    <w:p w14:paraId="6ED8C4C2">
      <w:pPr>
        <w:pStyle w:val="2"/>
      </w:pPr>
    </w:p>
    <w:p w14:paraId="40EE105A">
      <w:pPr>
        <w:jc w:val="center"/>
      </w:pPr>
    </w:p>
    <w:p w14:paraId="071BB270">
      <w:pPr>
        <w:jc w:val="center"/>
      </w:pPr>
    </w:p>
    <w:p w14:paraId="1F64A230">
      <w:pPr>
        <w:jc w:val="center"/>
      </w:pPr>
    </w:p>
    <w:p w14:paraId="0CB8DD37">
      <w:pPr>
        <w:jc w:val="center"/>
      </w:pPr>
    </w:p>
    <w:p w14:paraId="20B780BC">
      <w:pPr>
        <w:jc w:val="center"/>
      </w:pPr>
    </w:p>
    <w:p w14:paraId="7F7FBA7C">
      <w:pPr>
        <w:jc w:val="both"/>
      </w:pPr>
    </w:p>
    <w:p w14:paraId="723DFFAD">
      <w:pPr>
        <w:jc w:val="both"/>
        <w:rPr>
          <w:rFonts w:hint="eastAsia"/>
          <w:lang w:val="en-US" w:eastAsia="zh-CN"/>
        </w:rPr>
      </w:pPr>
      <w:r>
        <w:rPr>
          <w:rFonts w:hint="eastAsia"/>
          <w:lang w:val="en-US" w:eastAsia="zh-CN"/>
        </w:rPr>
        <w:t>付款码：</w:t>
      </w:r>
      <w:bookmarkStart w:id="39" w:name="_GoBack"/>
      <w:bookmarkEnd w:id="39"/>
      <w:r>
        <w:rPr>
          <w:rFonts w:hint="eastAsia"/>
          <w:lang w:val="en-US" w:eastAsia="zh-CN"/>
        </w:rPr>
        <w:t xml:space="preserve"> </w:t>
      </w:r>
    </w:p>
    <w:p w14:paraId="7256F0CA">
      <w:pPr>
        <w:jc w:val="both"/>
      </w:pPr>
      <w:r>
        <w:drawing>
          <wp:inline distT="0" distB="0" distL="114300" distR="114300">
            <wp:extent cx="2578100" cy="3048000"/>
            <wp:effectExtent l="0" t="0" r="1270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rcRect l="9134" t="7620" r="7957" b="5729"/>
                    <a:stretch>
                      <a:fillRect/>
                    </a:stretch>
                  </pic:blipFill>
                  <pic:spPr>
                    <a:xfrm>
                      <a:off x="0" y="0"/>
                      <a:ext cx="2578100" cy="3048000"/>
                    </a:xfrm>
                    <a:prstGeom prst="rect">
                      <a:avLst/>
                    </a:prstGeom>
                    <a:noFill/>
                    <a:ln>
                      <a:noFill/>
                    </a:ln>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B614D68"/>
    <w:rsid w:val="0C8A753A"/>
    <w:rsid w:val="0CF60B1F"/>
    <w:rsid w:val="287D391E"/>
    <w:rsid w:val="320A4233"/>
    <w:rsid w:val="371F4931"/>
    <w:rsid w:val="3A063314"/>
    <w:rsid w:val="3B614D68"/>
    <w:rsid w:val="3B632D7F"/>
    <w:rsid w:val="57A74C90"/>
    <w:rsid w:val="5C2255FF"/>
    <w:rsid w:val="5FB92F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微软雅黑" w:cs="Times New Roman"/>
      <w:kern w:val="2"/>
      <w:sz w:val="21"/>
      <w:szCs w:val="22"/>
      <w:lang w:val="en-US" w:eastAsia="zh-CN" w:bidi="ar-SA"/>
    </w:rPr>
  </w:style>
  <w:style w:type="paragraph" w:styleId="3">
    <w:name w:val="heading 1"/>
    <w:basedOn w:val="1"/>
    <w:next w:val="1"/>
    <w:qFormat/>
    <w:uiPriority w:val="0"/>
    <w:pPr>
      <w:keepNext/>
      <w:keepLines/>
      <w:spacing w:before="340" w:after="330" w:line="240" w:lineRule="auto"/>
      <w:jc w:val="center"/>
      <w:outlineLvl w:val="0"/>
    </w:pPr>
    <w:rPr>
      <w:b/>
      <w:bCs/>
      <w:kern w:val="44"/>
      <w:sz w:val="32"/>
      <w:szCs w:val="44"/>
    </w:rPr>
  </w:style>
  <w:style w:type="paragraph" w:styleId="4">
    <w:name w:val="heading 2"/>
    <w:basedOn w:val="1"/>
    <w:next w:val="1"/>
    <w:semiHidden/>
    <w:unhideWhenUsed/>
    <w:qFormat/>
    <w:uiPriority w:val="0"/>
    <w:pPr>
      <w:keepNext/>
      <w:keepLines/>
      <w:spacing w:beforeLines="0" w:beforeAutospacing="0" w:afterLines="0" w:afterAutospacing="0" w:line="360" w:lineRule="auto"/>
      <w:jc w:val="left"/>
      <w:outlineLvl w:val="1"/>
    </w:pPr>
    <w:rPr>
      <w:rFonts w:ascii="Arial" w:hAnsi="Arial"/>
      <w:b/>
      <w:sz w:val="28"/>
    </w:rPr>
  </w:style>
  <w:style w:type="paragraph" w:styleId="5">
    <w:name w:val="heading 3"/>
    <w:basedOn w:val="1"/>
    <w:next w:val="1"/>
    <w:link w:val="11"/>
    <w:semiHidden/>
    <w:unhideWhenUsed/>
    <w:qFormat/>
    <w:uiPriority w:val="0"/>
    <w:pPr>
      <w:keepNext/>
      <w:keepLines/>
      <w:spacing w:beforeLines="0" w:beforeAutospacing="0" w:afterLines="0" w:afterAutospacing="0" w:line="360" w:lineRule="auto"/>
      <w:jc w:val="center"/>
      <w:outlineLvl w:val="2"/>
    </w:pPr>
    <w:rPr>
      <w:rFonts w:ascii="Times New Roman" w:hAnsi="Times New Roman" w:eastAsia="宋体" w:cs="Times New Roman"/>
      <w:b/>
    </w:rPr>
  </w:style>
  <w:style w:type="paragraph" w:styleId="6">
    <w:name w:val="heading 4"/>
    <w:basedOn w:val="1"/>
    <w:next w:val="1"/>
    <w:semiHidden/>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adjustRightInd w:val="0"/>
      <w:spacing w:line="360" w:lineRule="atLeast"/>
      <w:ind w:firstLine="420"/>
      <w:jc w:val="left"/>
      <w:textAlignment w:val="baseline"/>
    </w:pPr>
    <w:rPr>
      <w:rFonts w:ascii="Times New Roman" w:hAnsi="Times New Roman" w:eastAsia="宋体" w:cs="Times New Roman"/>
      <w:kern w:val="0"/>
      <w:szCs w:val="21"/>
    </w:rPr>
  </w:style>
  <w:style w:type="paragraph" w:styleId="7">
    <w:name w:val="index 4"/>
    <w:basedOn w:val="1"/>
    <w:next w:val="1"/>
    <w:qFormat/>
    <w:uiPriority w:val="0"/>
    <w:pPr>
      <w:ind w:left="600" w:leftChars="600"/>
    </w:pPr>
  </w:style>
  <w:style w:type="character" w:styleId="10">
    <w:name w:val="annotation reference"/>
    <w:semiHidden/>
    <w:uiPriority w:val="0"/>
    <w:rPr>
      <w:sz w:val="21"/>
      <w:szCs w:val="21"/>
    </w:rPr>
  </w:style>
  <w:style w:type="character" w:customStyle="1" w:styleId="11">
    <w:name w:val="标题 3 Char1"/>
    <w:link w:val="5"/>
    <w:qFormat/>
    <w:uiPriority w:val="0"/>
    <w:rPr>
      <w:rFonts w:ascii="Times New Roman" w:hAnsi="Times New Roman" w:eastAsia="宋体" w:cs="Times New Roman"/>
      <w:b/>
      <w:bCs/>
      <w:sz w:val="24"/>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2</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2025-03-18T08:06:00Z</dcterms:created>
  <dc:creator>CY</dc:creator>
  <cp:lastModifiedBy>CY</cp:lastModifiedBy>
  <dcterms:modified xsi:type="dcterms:W3CDTF">2025-03-18T08:08:45Z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F6524FADCA5049AB965A6FBDBAF7273E_11</vt:lpwstr>
  </property>
  <property fmtid="{D5CDD505-2E9C-101B-9397-08002B2CF9AE}" pid="4" name="KSOTemplateDocerSaveRecord">
    <vt:lpwstr>eyJoZGlkIjoiYjIxNTUxODE4ZGZmMmNkZGM5NjA5MjYyMWIyZTZjZDAiLCJ1c2VySWQiOiI2NzA4MzgxNDkifQ==</vt:lpwstr>
  </property>
</Properties>
</file>